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80" w:rsidRDefault="004E7780" w:rsidP="004E7780">
      <w:pPr>
        <w:pStyle w:val="Huvudrubrik"/>
        <w:jc w:val="left"/>
        <w:rPr>
          <w:sz w:val="20"/>
          <w:szCs w:val="20"/>
        </w:rPr>
      </w:pPr>
      <w:bookmarkStart w:id="0" w:name="_GoBack"/>
      <w:bookmarkEnd w:id="0"/>
    </w:p>
    <w:p w:rsidR="004E7780" w:rsidRDefault="004E7780" w:rsidP="004E7780">
      <w:pPr>
        <w:pStyle w:val="Huvudrubrik"/>
        <w:jc w:val="left"/>
        <w:rPr>
          <w:sz w:val="20"/>
          <w:szCs w:val="20"/>
        </w:rPr>
      </w:pPr>
    </w:p>
    <w:p w:rsidR="004E7780" w:rsidRDefault="004E7780" w:rsidP="004E7780">
      <w:pPr>
        <w:pStyle w:val="Huvudrubrik"/>
        <w:jc w:val="left"/>
        <w:rPr>
          <w:sz w:val="20"/>
          <w:szCs w:val="20"/>
        </w:rPr>
      </w:pPr>
    </w:p>
    <w:p w:rsidR="004E7780" w:rsidRDefault="004E7780" w:rsidP="004E7780">
      <w:pPr>
        <w:pStyle w:val="Huvudrubrik"/>
        <w:jc w:val="left"/>
        <w:rPr>
          <w:sz w:val="20"/>
          <w:szCs w:val="20"/>
        </w:rPr>
      </w:pPr>
    </w:p>
    <w:p w:rsidR="004E7780" w:rsidRDefault="004E7780" w:rsidP="004E7780">
      <w:pPr>
        <w:pStyle w:val="Huvudrubrik"/>
        <w:jc w:val="left"/>
        <w:rPr>
          <w:sz w:val="20"/>
          <w:szCs w:val="20"/>
        </w:rPr>
      </w:pPr>
    </w:p>
    <w:p w:rsidR="004E7780" w:rsidRDefault="004E7780" w:rsidP="004E7780">
      <w:pPr>
        <w:pStyle w:val="Huvudrubrik"/>
        <w:jc w:val="left"/>
        <w:rPr>
          <w:sz w:val="20"/>
          <w:szCs w:val="20"/>
        </w:rPr>
      </w:pPr>
    </w:p>
    <w:p w:rsidR="004E7780" w:rsidRDefault="004E7780" w:rsidP="004E7780">
      <w:pPr>
        <w:pStyle w:val="Huvudrubrik"/>
        <w:jc w:val="left"/>
        <w:rPr>
          <w:sz w:val="20"/>
          <w:szCs w:val="20"/>
        </w:rPr>
      </w:pPr>
    </w:p>
    <w:p w:rsidR="004E7780" w:rsidRDefault="004E7780" w:rsidP="004E7780">
      <w:pPr>
        <w:pStyle w:val="Huvudrubrik"/>
        <w:jc w:val="left"/>
        <w:rPr>
          <w:sz w:val="20"/>
          <w:szCs w:val="20"/>
        </w:rPr>
      </w:pPr>
    </w:p>
    <w:p w:rsidR="004E7780" w:rsidRPr="004E7780" w:rsidRDefault="004E7780" w:rsidP="004E7780">
      <w:pPr>
        <w:pStyle w:val="Huvudrubrik"/>
        <w:jc w:val="left"/>
        <w:rPr>
          <w:sz w:val="20"/>
          <w:szCs w:val="20"/>
        </w:rPr>
      </w:pPr>
    </w:p>
    <w:p w:rsidR="004439CD" w:rsidRDefault="00B62A91" w:rsidP="004439CD">
      <w:pPr>
        <w:pStyle w:val="Huvudrubrik"/>
      </w:pPr>
      <w:r>
        <w:t>Taxa för</w:t>
      </w:r>
      <w:r w:rsidR="004439CD" w:rsidRPr="004439CD">
        <w:t xml:space="preserve"> </w:t>
      </w:r>
      <w:r w:rsidR="004439CD">
        <w:t xml:space="preserve">Räddningstjänsten </w:t>
      </w:r>
      <w:proofErr w:type="spellStart"/>
      <w:r w:rsidR="004439CD">
        <w:t>Skånemitt</w:t>
      </w:r>
      <w:proofErr w:type="spellEnd"/>
    </w:p>
    <w:p w:rsidR="00803390" w:rsidRPr="00B62A91" w:rsidRDefault="004439CD" w:rsidP="00B62A91">
      <w:pPr>
        <w:pStyle w:val="Huvudrubrik"/>
        <w:rPr>
          <w:sz w:val="40"/>
          <w:szCs w:val="40"/>
        </w:rPr>
        <w:sectPr w:rsidR="00803390" w:rsidRPr="00B62A91" w:rsidSect="00043706">
          <w:headerReference w:type="default" r:id="rId8"/>
          <w:footerReference w:type="default" r:id="rId9"/>
          <w:pgSz w:w="11906" w:h="16838" w:code="9"/>
          <w:pgMar w:top="2835" w:right="1985" w:bottom="1418" w:left="1701" w:header="737" w:footer="284" w:gutter="0"/>
          <w:cols w:space="708"/>
          <w:docGrid w:linePitch="360"/>
        </w:sectPr>
      </w:pPr>
      <w:r>
        <w:t xml:space="preserve"> </w:t>
      </w:r>
      <w:r w:rsidR="00B62A91">
        <w:t xml:space="preserve"> </w:t>
      </w:r>
      <w:r w:rsidRPr="004439CD">
        <w:rPr>
          <w:sz w:val="36"/>
          <w:szCs w:val="36"/>
        </w:rPr>
        <w:t xml:space="preserve">För </w:t>
      </w:r>
      <w:r w:rsidR="00B62A91" w:rsidRPr="004439CD">
        <w:rPr>
          <w:sz w:val="36"/>
          <w:szCs w:val="36"/>
        </w:rPr>
        <w:t>myndighetsutövning</w:t>
      </w:r>
      <w:r>
        <w:rPr>
          <w:sz w:val="36"/>
          <w:szCs w:val="36"/>
        </w:rPr>
        <w:t xml:space="preserve"> i Höörs kommun</w:t>
      </w:r>
    </w:p>
    <w:tbl>
      <w:tblPr>
        <w:tblW w:w="9284" w:type="dxa"/>
        <w:tblLayout w:type="fixed"/>
        <w:tblCellMar>
          <w:left w:w="70" w:type="dxa"/>
          <w:right w:w="70" w:type="dxa"/>
        </w:tblCellMar>
        <w:tblLook w:val="0000" w:firstRow="0" w:lastRow="0" w:firstColumn="0" w:lastColumn="0" w:noHBand="0" w:noVBand="0"/>
      </w:tblPr>
      <w:tblGrid>
        <w:gridCol w:w="921"/>
        <w:gridCol w:w="4678"/>
        <w:gridCol w:w="1842"/>
        <w:gridCol w:w="1843"/>
      </w:tblGrid>
      <w:tr w:rsidR="00B62A91" w:rsidRPr="00B62A91" w:rsidTr="006C2805">
        <w:trPr>
          <w:trHeight w:val="269"/>
        </w:trPr>
        <w:tc>
          <w:tcPr>
            <w:tcW w:w="921" w:type="dxa"/>
            <w:tcBorders>
              <w:top w:val="single" w:sz="4" w:space="0" w:color="auto"/>
              <w:left w:val="single" w:sz="4" w:space="0" w:color="auto"/>
              <w:bottom w:val="single" w:sz="4" w:space="0" w:color="auto"/>
            </w:tcBorders>
            <w:shd w:val="clear" w:color="auto" w:fill="DBE5F1"/>
          </w:tcPr>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lastRenderedPageBreak/>
              <w:t>1</w:t>
            </w:r>
          </w:p>
        </w:tc>
        <w:tc>
          <w:tcPr>
            <w:tcW w:w="4678" w:type="dxa"/>
            <w:tcBorders>
              <w:top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 xml:space="preserve">MYNDIGHETSUTÖVNING – </w:t>
            </w:r>
          </w:p>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sz w:val="24"/>
                <w:szCs w:val="24"/>
                <w:lang w:eastAsia="sv-SE"/>
              </w:rPr>
              <w:t>TILLSYN LSO/LBE</w:t>
            </w:r>
          </w:p>
        </w:tc>
        <w:tc>
          <w:tcPr>
            <w:tcW w:w="1842" w:type="dxa"/>
            <w:tcBorders>
              <w:top w:val="single" w:sz="4" w:space="0" w:color="auto"/>
              <w:left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proofErr w:type="spellStart"/>
            <w:r w:rsidRPr="00B62A91">
              <w:rPr>
                <w:rFonts w:ascii="Times New Roman" w:eastAsia="Times New Roman" w:hAnsi="Times New Roman" w:cs="Times New Roman"/>
                <w:b/>
                <w:sz w:val="24"/>
                <w:szCs w:val="24"/>
                <w:lang w:eastAsia="sv-SE"/>
              </w:rPr>
              <w:t>Exkl.moms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Anmärkning</w:t>
            </w:r>
          </w:p>
        </w:tc>
      </w:tr>
      <w:tr w:rsidR="00B62A91" w:rsidRPr="00B62A91" w:rsidTr="006C2805">
        <w:tc>
          <w:tcPr>
            <w:tcW w:w="921" w:type="dxa"/>
            <w:tcBorders>
              <w:top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top w:val="single" w:sz="4" w:space="0" w:color="auto"/>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1842" w:type="dxa"/>
            <w:tcBorders>
              <w:top w:val="single" w:sz="4" w:space="0" w:color="auto"/>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top w:val="single" w:sz="4" w:space="0" w:color="auto"/>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sz w:val="24"/>
                <w:szCs w:val="24"/>
                <w:lang w:eastAsia="sv-SE"/>
              </w:rPr>
              <w:t>1.1</w:t>
            </w: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sz w:val="24"/>
                <w:szCs w:val="24"/>
                <w:lang w:eastAsia="sv-SE"/>
              </w:rPr>
              <w:t xml:space="preserve">Myndighetsutövning </w:t>
            </w:r>
            <w:r w:rsidR="00F62B2D">
              <w:rPr>
                <w:rFonts w:ascii="Times New Roman" w:eastAsia="Times New Roman" w:hAnsi="Times New Roman" w:cs="Times New Roman"/>
                <w:b/>
                <w:sz w:val="24"/>
                <w:szCs w:val="24"/>
                <w:lang w:eastAsia="sv-SE"/>
              </w:rPr>
              <w:t>t</w:t>
            </w:r>
            <w:r w:rsidRPr="00B62A91">
              <w:rPr>
                <w:rFonts w:ascii="Times New Roman" w:eastAsia="Times New Roman" w:hAnsi="Times New Roman" w:cs="Times New Roman"/>
                <w:b/>
                <w:sz w:val="24"/>
                <w:szCs w:val="24"/>
                <w:lang w:eastAsia="sv-SE"/>
              </w:rPr>
              <w:t>illsyn</w:t>
            </w:r>
            <w:r w:rsidR="00F62B2D">
              <w:rPr>
                <w:rFonts w:ascii="Times New Roman" w:eastAsia="Times New Roman" w:hAnsi="Times New Roman" w:cs="Times New Roman"/>
                <w:b/>
                <w:sz w:val="24"/>
                <w:szCs w:val="24"/>
                <w:lang w:eastAsia="sv-SE"/>
              </w:rPr>
              <w:t>,</w:t>
            </w:r>
            <w:r w:rsidRPr="00B62A91">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b/>
                <w:sz w:val="24"/>
                <w:szCs w:val="24"/>
                <w:lang w:eastAsia="sv-SE"/>
              </w:rPr>
              <w:t>l</w:t>
            </w:r>
            <w:r w:rsidRPr="00B62A91">
              <w:rPr>
                <w:rFonts w:ascii="Times New Roman" w:eastAsia="Times New Roman" w:hAnsi="Times New Roman" w:cs="Times New Roman"/>
                <w:b/>
                <w:sz w:val="24"/>
                <w:szCs w:val="24"/>
                <w:lang w:eastAsia="sv-SE"/>
              </w:rPr>
              <w:t>agen om skydd mot olyckor</w:t>
            </w: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Grundbeloppet 2023</w:t>
            </w: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1.079:-</w:t>
            </w: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1.1.1</w:t>
            </w: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Sakkunnighetsutlåtande polis</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Cs/>
                <w:sz w:val="24"/>
                <w:szCs w:val="24"/>
                <w:lang w:eastAsia="sv-SE"/>
              </w:rPr>
              <w:t>(erlagd tid per timme x grundbelopp)</w:t>
            </w: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1.079:-</w:t>
            </w: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 w:val="right" w:pos="9072"/>
              </w:tabs>
              <w:rPr>
                <w:rFonts w:ascii="Times New Roman" w:eastAsia="Times New Roman" w:hAnsi="Times New Roman" w:cs="Times New Roman"/>
                <w:bCs/>
                <w:sz w:val="24"/>
                <w:szCs w:val="24"/>
                <w:lang w:eastAsia="sv-SE"/>
              </w:rPr>
            </w:pPr>
          </w:p>
        </w:tc>
        <w:tc>
          <w:tcPr>
            <w:tcW w:w="1842" w:type="dxa"/>
            <w:tcBorders>
              <w:left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1.1.2</w:t>
            </w:r>
          </w:p>
        </w:tc>
        <w:tc>
          <w:tcPr>
            <w:tcW w:w="8363" w:type="dxa"/>
            <w:gridSpan w:val="3"/>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sz w:val="24"/>
                <w:szCs w:val="24"/>
                <w:lang w:eastAsia="sv-SE"/>
              </w:rPr>
              <w:t>Tillsyn</w:t>
            </w:r>
          </w:p>
        </w:tc>
      </w:tr>
      <w:tr w:rsidR="00B62A91" w:rsidRPr="00B62A91" w:rsidTr="006C2805">
        <w:trPr>
          <w:trHeight w:val="277"/>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8363" w:type="dxa"/>
            <w:gridSpan w:val="3"/>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u w:val="single"/>
                <w:lang w:eastAsia="sv-SE"/>
              </w:rPr>
              <w:t>Inledande bestämmelser</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Enl. denna taxa erläggs avgift för tillsyn enligt </w:t>
            </w:r>
            <w:r>
              <w:rPr>
                <w:rFonts w:ascii="Times New Roman" w:eastAsia="Times New Roman" w:hAnsi="Times New Roman" w:cs="Times New Roman"/>
                <w:sz w:val="24"/>
                <w:szCs w:val="24"/>
                <w:lang w:eastAsia="sv-SE"/>
              </w:rPr>
              <w:t>l</w:t>
            </w:r>
            <w:r w:rsidRPr="00B62A91">
              <w:rPr>
                <w:rFonts w:ascii="Times New Roman" w:eastAsia="Times New Roman" w:hAnsi="Times New Roman" w:cs="Times New Roman"/>
                <w:sz w:val="24"/>
                <w:szCs w:val="24"/>
                <w:lang w:eastAsia="sv-SE"/>
              </w:rPr>
              <w:t>agen om skydd mot olyckor</w:t>
            </w:r>
            <w:r w:rsidR="009635B4">
              <w:rPr>
                <w:rFonts w:ascii="Times New Roman" w:eastAsia="Times New Roman" w:hAnsi="Times New Roman" w:cs="Times New Roman"/>
                <w:sz w:val="24"/>
                <w:szCs w:val="24"/>
                <w:lang w:eastAsia="sv-SE"/>
              </w:rPr>
              <w:t>, LSO</w:t>
            </w:r>
            <w:r w:rsidRPr="00B62A91">
              <w:rPr>
                <w:rFonts w:ascii="Times New Roman" w:eastAsia="Times New Roman" w:hAnsi="Times New Roman" w:cs="Times New Roman"/>
                <w:sz w:val="24"/>
                <w:szCs w:val="24"/>
                <w:lang w:eastAsia="sv-SE"/>
              </w:rPr>
              <w:t xml:space="preserve"> (SFS 2003:778) och </w:t>
            </w:r>
            <w:r>
              <w:rPr>
                <w:rFonts w:ascii="Times New Roman" w:eastAsia="Times New Roman" w:hAnsi="Times New Roman" w:cs="Times New Roman"/>
                <w:sz w:val="24"/>
                <w:szCs w:val="24"/>
                <w:lang w:eastAsia="sv-SE"/>
              </w:rPr>
              <w:t>l</w:t>
            </w:r>
            <w:r w:rsidRPr="00B62A91">
              <w:rPr>
                <w:rFonts w:ascii="Times New Roman" w:eastAsia="Times New Roman" w:hAnsi="Times New Roman" w:cs="Times New Roman"/>
                <w:sz w:val="24"/>
                <w:szCs w:val="24"/>
                <w:lang w:eastAsia="sv-SE"/>
              </w:rPr>
              <w:t>agen om brandfarliga varor och explosiva varor</w:t>
            </w:r>
            <w:r w:rsidR="009635B4">
              <w:rPr>
                <w:rFonts w:ascii="Times New Roman" w:eastAsia="Times New Roman" w:hAnsi="Times New Roman" w:cs="Times New Roman"/>
                <w:sz w:val="24"/>
                <w:szCs w:val="24"/>
                <w:lang w:eastAsia="sv-SE"/>
              </w:rPr>
              <w:t>, LBE</w:t>
            </w:r>
            <w:r w:rsidRPr="00B62A91">
              <w:rPr>
                <w:rFonts w:ascii="Times New Roman" w:eastAsia="Times New Roman" w:hAnsi="Times New Roman" w:cs="Times New Roman"/>
                <w:sz w:val="24"/>
                <w:szCs w:val="24"/>
                <w:lang w:eastAsia="sv-SE"/>
              </w:rPr>
              <w:t xml:space="preserve"> (SFS 2010:1011).</w:t>
            </w:r>
            <w:r w:rsidRPr="00B62A91">
              <w:rPr>
                <w:rFonts w:ascii="Times New Roman" w:eastAsia="Times New Roman" w:hAnsi="Times New Roman" w:cs="Times New Roman"/>
                <w:sz w:val="24"/>
                <w:szCs w:val="24"/>
                <w:lang w:eastAsia="sv-SE"/>
              </w:rPr>
              <w:br/>
            </w:r>
            <w:r w:rsidRPr="00B62A91">
              <w:rPr>
                <w:rFonts w:ascii="Times New Roman" w:eastAsia="Times New Roman" w:hAnsi="Times New Roman" w:cs="Times New Roman"/>
                <w:i/>
                <w:sz w:val="24"/>
                <w:szCs w:val="24"/>
                <w:lang w:eastAsia="sv-SE"/>
              </w:rPr>
              <w:t>Taxan är grundavgift + timtiden för tillsynen på objektet</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8363" w:type="dxa"/>
            <w:gridSpan w:val="3"/>
            <w:tcBorders>
              <w:right w:val="single" w:sz="4" w:space="0" w:color="auto"/>
            </w:tcBorders>
          </w:tcPr>
          <w:p w:rsidR="00B62A91" w:rsidRPr="00B62A91" w:rsidRDefault="00B62A91" w:rsidP="00B62A91">
            <w:pPr>
              <w:tabs>
                <w:tab w:val="left" w:pos="1134"/>
                <w:tab w:val="left" w:pos="2835"/>
                <w:tab w:val="left" w:pos="6237"/>
                <w:tab w:val="left" w:pos="7938"/>
              </w:tabs>
              <w:ind w:right="-568"/>
              <w:rPr>
                <w:rFonts w:ascii="Times New Roman" w:eastAsia="Times New Roman" w:hAnsi="Times New Roman" w:cs="Times New Roman"/>
                <w:sz w:val="24"/>
                <w:szCs w:val="24"/>
                <w:lang w:eastAsia="sv-SE"/>
              </w:rPr>
            </w:pPr>
          </w:p>
        </w:tc>
      </w:tr>
      <w:tr w:rsidR="00B62A91" w:rsidRPr="00B62A91" w:rsidTr="006C2805">
        <w:trPr>
          <w:trHeight w:val="295"/>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8363" w:type="dxa"/>
            <w:gridSpan w:val="3"/>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u w:val="single"/>
                <w:lang w:eastAsia="sv-SE"/>
              </w:rPr>
              <w:t>Avgiftens erläggande</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Om inte annat överenskommits ska avgiften enligt denna taxa erläggas av ägare eller innehavare mot räkning, efter att tillsynsbesöket har genomförts.</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8363" w:type="dxa"/>
            <w:gridSpan w:val="3"/>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u w:val="single"/>
                <w:lang w:eastAsia="sv-SE"/>
              </w:rPr>
            </w:pPr>
          </w:p>
        </w:tc>
      </w:tr>
      <w:tr w:rsidR="00B62A91" w:rsidRPr="00B62A91" w:rsidTr="006C2805">
        <w:trPr>
          <w:trHeight w:val="333"/>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8363" w:type="dxa"/>
            <w:gridSpan w:val="3"/>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u w:val="single"/>
                <w:lang w:eastAsia="sv-SE"/>
              </w:rPr>
              <w:t>Särskild sakkunnig</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lang w:eastAsia="sv-SE"/>
              </w:rPr>
              <w:t>Då ärende är av sådan karaktär att räddningsnämnden finner det nödvändigt att anlita särskilt sakkunnig erläggs ersättning åt denna av ägare/innehavare.</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8363" w:type="dxa"/>
            <w:gridSpan w:val="3"/>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bCs/>
                <w:sz w:val="24"/>
                <w:szCs w:val="24"/>
                <w:lang w:eastAsia="sv-SE"/>
              </w:rPr>
              <w:t>Tillsyn enl. LSO eller LBE</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Grundavgift (inkl. förberedelsetid, handläggning, protokollskrivning samt uppföljning och efterarbete av tillsynen), 3 x grundbeloppet </w:t>
            </w:r>
          </w:p>
        </w:tc>
        <w:tc>
          <w:tcPr>
            <w:tcW w:w="1842" w:type="dxa"/>
            <w:tcBorders>
              <w:top w:val="single" w:sz="4" w:space="0" w:color="auto"/>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3.237:-</w:t>
            </w:r>
          </w:p>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top w:val="single" w:sz="4" w:space="0" w:color="auto"/>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Grundavgift</w:t>
            </w:r>
          </w:p>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 xml:space="preserve">Tillsyn enl. LSO eller LBE per </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bCs/>
                <w:sz w:val="24"/>
                <w:szCs w:val="24"/>
                <w:lang w:eastAsia="sv-SE"/>
              </w:rPr>
              <w:t>timme under platsbesöket</w:t>
            </w:r>
          </w:p>
        </w:tc>
        <w:tc>
          <w:tcPr>
            <w:tcW w:w="1842" w:type="dxa"/>
            <w:tcBorders>
              <w:left w:val="single" w:sz="4" w:space="0" w:color="auto"/>
              <w:right w:val="single" w:sz="4" w:space="0" w:color="auto"/>
            </w:tcBorders>
            <w:shd w:val="clear" w:color="auto" w:fill="DBE5F1"/>
          </w:tcPr>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1.079:-</w:t>
            </w:r>
          </w:p>
        </w:tc>
        <w:tc>
          <w:tcPr>
            <w:tcW w:w="1843" w:type="dxa"/>
            <w:tcBorders>
              <w:left w:val="single" w:sz="4" w:space="0" w:color="auto"/>
              <w:right w:val="single" w:sz="4" w:space="0" w:color="auto"/>
            </w:tcBorders>
            <w:shd w:val="clear" w:color="auto" w:fill="DBE5F1"/>
          </w:tcPr>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Timavgift</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Samordnad tillsyn</w:t>
            </w:r>
          </w:p>
          <w:p w:rsidR="00B62A91" w:rsidRPr="00B62A91" w:rsidRDefault="00B62A91" w:rsidP="00B62A91">
            <w:pPr>
              <w:rPr>
                <w:rFonts w:ascii="Times New Roman" w:eastAsia="Times New Roman" w:hAnsi="Times New Roman" w:cs="Times New Roman"/>
                <w:szCs w:val="20"/>
                <w:lang w:eastAsia="sv-SE"/>
              </w:rPr>
            </w:pPr>
            <w:r w:rsidRPr="00B62A91">
              <w:rPr>
                <w:rFonts w:ascii="Times New Roman" w:eastAsia="Times New Roman" w:hAnsi="Times New Roman" w:cs="Times New Roman"/>
                <w:sz w:val="24"/>
                <w:szCs w:val="24"/>
                <w:lang w:eastAsia="sv-SE"/>
              </w:rPr>
              <w:t>Om tillsyn enl. LSO och LBE genomförs samtidigt är grundavgiften 4 x grundbeloppet</w:t>
            </w: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4.316:-</w:t>
            </w: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Grundavgift</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p w:rsidR="00F62B2D" w:rsidRDefault="00F62B2D"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p w:rsidR="00F62B2D" w:rsidRPr="00B62A91" w:rsidRDefault="00F62B2D"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Tillsyn direkt</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sz w:val="24"/>
                <w:szCs w:val="24"/>
                <w:lang w:eastAsia="sv-SE"/>
              </w:rPr>
              <w:t>Om tillsyn initierats efter tips från allmänhet eller på annan förekommen anledning är grundavgiften 2 x grundbeloppet</w:t>
            </w: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2.158:-</w:t>
            </w: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Grundavgift</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Efterbesiktning</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sz w:val="24"/>
                <w:szCs w:val="24"/>
                <w:lang w:eastAsia="sv-SE"/>
              </w:rPr>
              <w:t>Då allvarliga brister har upptäckts på tillsynsbesöket, ska ett ytterligare tillsynsbesök genomföras. Då tas enbart timavgiften ut per timme under platsbesöket.</w:t>
            </w:r>
          </w:p>
        </w:tc>
        <w:tc>
          <w:tcPr>
            <w:tcW w:w="1842" w:type="dxa"/>
            <w:tcBorders>
              <w:left w:val="single" w:sz="4" w:space="0" w:color="auto"/>
              <w:right w:val="single" w:sz="4" w:space="0" w:color="auto"/>
            </w:tcBorders>
            <w:shd w:val="clear" w:color="auto" w:fill="DBE5F1"/>
          </w:tcPr>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1.079:-</w:t>
            </w:r>
          </w:p>
        </w:tc>
        <w:tc>
          <w:tcPr>
            <w:tcW w:w="1843" w:type="dxa"/>
            <w:tcBorders>
              <w:left w:val="single" w:sz="4" w:space="0" w:color="auto"/>
              <w:right w:val="single" w:sz="4" w:space="0" w:color="auto"/>
            </w:tcBorders>
            <w:shd w:val="clear" w:color="auto" w:fill="DBE5F1"/>
          </w:tcPr>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Timavgift</w:t>
            </w:r>
          </w:p>
        </w:tc>
      </w:tr>
      <w:tr w:rsidR="00B62A91" w:rsidRPr="00B62A91" w:rsidTr="006C2805">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p>
        </w:tc>
      </w:tr>
      <w:tr w:rsidR="00B62A91" w:rsidRPr="00B62A91" w:rsidTr="006C2805">
        <w:trPr>
          <w:trHeight w:val="1125"/>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p>
        </w:tc>
        <w:tc>
          <w:tcPr>
            <w:tcW w:w="4678" w:type="dxa"/>
            <w:tcBorders>
              <w:right w:val="single" w:sz="4" w:space="0" w:color="auto"/>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Inställd tillsyn utan anledning</w:t>
            </w:r>
          </w:p>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Om en tillsyn inte blir av, utan att verksamheten/ägaren meddelat anledning till detta (dyker ej upp på plats efter utsatt tid).</w:t>
            </w:r>
          </w:p>
        </w:tc>
        <w:tc>
          <w:tcPr>
            <w:tcW w:w="1842" w:type="dxa"/>
            <w:tcBorders>
              <w:left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3.237:-</w:t>
            </w:r>
          </w:p>
        </w:tc>
        <w:tc>
          <w:tcPr>
            <w:tcW w:w="1843" w:type="dxa"/>
            <w:tcBorders>
              <w:left w:val="single" w:sz="4" w:space="0" w:color="auto"/>
              <w:bottom w:val="single" w:sz="4" w:space="0" w:color="auto"/>
              <w:right w:val="single" w:sz="4" w:space="0" w:color="auto"/>
            </w:tcBorders>
            <w:shd w:val="clear" w:color="auto" w:fill="DBE5F1"/>
          </w:tcPr>
          <w:p w:rsidR="00B62A91" w:rsidRPr="00B62A91" w:rsidRDefault="00B62A91" w:rsidP="00B62A91">
            <w:pPr>
              <w:tabs>
                <w:tab w:val="left" w:pos="1134"/>
                <w:tab w:val="left" w:pos="2835"/>
                <w:tab w:val="left" w:pos="3969"/>
                <w:tab w:val="left" w:pos="6237"/>
                <w:tab w:val="left" w:pos="7938"/>
              </w:tabs>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Grundavgift</w:t>
            </w:r>
          </w:p>
        </w:tc>
      </w:tr>
    </w:tbl>
    <w:p w:rsidR="00B62A91" w:rsidRPr="00B62A91" w:rsidRDefault="00B62A91" w:rsidP="00B62A91">
      <w:pPr>
        <w:rPr>
          <w:rFonts w:ascii="Times New Roman" w:eastAsia="Times New Roman" w:hAnsi="Times New Roman" w:cs="Times New Roman"/>
          <w:sz w:val="24"/>
          <w:szCs w:val="24"/>
          <w:lang w:eastAsia="sv-S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678"/>
        <w:gridCol w:w="1842"/>
        <w:gridCol w:w="1843"/>
      </w:tblGrid>
      <w:tr w:rsidR="00B62A91" w:rsidRPr="00B62A91" w:rsidTr="006C2805">
        <w:trPr>
          <w:trHeight w:val="269"/>
        </w:trPr>
        <w:tc>
          <w:tcPr>
            <w:tcW w:w="921" w:type="dxa"/>
            <w:tcBorders>
              <w:bottom w:val="single" w:sz="4" w:space="0" w:color="auto"/>
            </w:tcBorders>
            <w:shd w:val="clear" w:color="auto" w:fill="DBE5F1"/>
          </w:tcPr>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1</w:t>
            </w:r>
          </w:p>
        </w:tc>
        <w:tc>
          <w:tcPr>
            <w:tcW w:w="4678" w:type="dxa"/>
            <w:tcBorders>
              <w:bottom w:val="single" w:sz="4" w:space="0" w:color="auto"/>
            </w:tcBorders>
            <w:shd w:val="clear" w:color="auto" w:fill="DBE5F1"/>
          </w:tcPr>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sz w:val="24"/>
                <w:szCs w:val="24"/>
                <w:lang w:eastAsia="sv-SE"/>
              </w:rPr>
              <w:t>MYNDIGHETSUTÖVNING – TILLSTÅND EXPLOSIV VARA</w:t>
            </w:r>
          </w:p>
        </w:tc>
        <w:tc>
          <w:tcPr>
            <w:tcW w:w="1842" w:type="dxa"/>
            <w:tcBorders>
              <w:bottom w:val="single" w:sz="4" w:space="0" w:color="auto"/>
            </w:tcBorders>
            <w:shd w:val="clear" w:color="auto" w:fill="DBE5F1"/>
          </w:tcPr>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Nytt tillstånd</w:t>
            </w:r>
          </w:p>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Exkl. moms</w:t>
            </w:r>
          </w:p>
        </w:tc>
        <w:tc>
          <w:tcPr>
            <w:tcW w:w="1843" w:type="dxa"/>
            <w:tcBorders>
              <w:bottom w:val="single" w:sz="4" w:space="0" w:color="auto"/>
            </w:tcBorders>
            <w:shd w:val="clear" w:color="auto" w:fill="DBE5F1"/>
          </w:tcPr>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Återkommande</w:t>
            </w:r>
          </w:p>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tillstånd</w:t>
            </w:r>
          </w:p>
        </w:tc>
      </w:tr>
      <w:tr w:rsidR="00B62A91" w:rsidRPr="00B62A91" w:rsidTr="006C2805">
        <w:trPr>
          <w:cantSplit/>
        </w:trPr>
        <w:tc>
          <w:tcPr>
            <w:tcW w:w="921" w:type="dxa"/>
            <w:tcBorders>
              <w:top w:val="single" w:sz="4" w:space="0" w:color="auto"/>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single" w:sz="4" w:space="0" w:color="auto"/>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single" w:sz="4" w:space="0" w:color="auto"/>
              <w:left w:val="single" w:sz="4" w:space="0" w:color="auto"/>
              <w:bottom w:val="nil"/>
              <w:right w:val="single" w:sz="4" w:space="0" w:color="auto"/>
            </w:tcBorders>
            <w:shd w:val="clear" w:color="auto" w:fill="DBE5F1"/>
          </w:tcPr>
          <w:p w:rsidR="00B62A91" w:rsidRPr="00B62A91" w:rsidRDefault="00B62A91" w:rsidP="00B62A91">
            <w:pPr>
              <w:rPr>
                <w:rFonts w:ascii="Times New Roman" w:eastAsia="Times New Roman" w:hAnsi="Times New Roman" w:cs="Times New Roman"/>
                <w:sz w:val="24"/>
                <w:szCs w:val="24"/>
                <w:lang w:eastAsia="sv-SE"/>
              </w:rPr>
            </w:pPr>
          </w:p>
        </w:tc>
        <w:tc>
          <w:tcPr>
            <w:tcW w:w="1843" w:type="dxa"/>
            <w:tcBorders>
              <w:top w:val="single" w:sz="4" w:space="0" w:color="auto"/>
              <w:left w:val="single" w:sz="4" w:space="0" w:color="auto"/>
              <w:bottom w:val="nil"/>
              <w:right w:val="single" w:sz="4" w:space="0" w:color="auto"/>
            </w:tcBorders>
            <w:shd w:val="clear" w:color="auto" w:fill="DBE5F1"/>
          </w:tcPr>
          <w:p w:rsidR="00B62A91" w:rsidRPr="00B62A91" w:rsidRDefault="00B62A91" w:rsidP="00B62A91">
            <w:pPr>
              <w:jc w:val="center"/>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bCs/>
                <w:sz w:val="24"/>
                <w:szCs w:val="24"/>
                <w:lang w:eastAsia="sv-SE"/>
              </w:rPr>
              <w:t>Tillstånd för explosiva varor e</w:t>
            </w:r>
            <w:r w:rsidRPr="00B62A91">
              <w:rPr>
                <w:rFonts w:ascii="Times New Roman" w:eastAsia="Times New Roman" w:hAnsi="Times New Roman" w:cs="Times New Roman"/>
                <w:b/>
                <w:sz w:val="24"/>
                <w:szCs w:val="24"/>
                <w:lang w:eastAsia="sv-SE"/>
              </w:rPr>
              <w:t xml:space="preserve">nl. § 27 </w:t>
            </w:r>
          </w:p>
          <w:p w:rsidR="00B62A91" w:rsidRPr="00B62A91" w:rsidRDefault="00F62B2D"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l</w:t>
            </w:r>
            <w:r w:rsidR="00B62A91" w:rsidRPr="00B62A91">
              <w:rPr>
                <w:rFonts w:ascii="Times New Roman" w:eastAsia="Times New Roman" w:hAnsi="Times New Roman" w:cs="Times New Roman"/>
                <w:b/>
                <w:sz w:val="24"/>
                <w:szCs w:val="24"/>
                <w:lang w:eastAsia="sv-SE"/>
              </w:rPr>
              <w:t>agen om brandfarliga och explosiva varor</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Grundbeloppet </w:t>
            </w:r>
            <w:r w:rsidRPr="00B62A91">
              <w:rPr>
                <w:rFonts w:ascii="Times New Roman" w:eastAsia="Times New Roman" w:hAnsi="Times New Roman" w:cs="Times New Roman"/>
                <w:b/>
                <w:sz w:val="24"/>
                <w:szCs w:val="24"/>
                <w:lang w:eastAsia="sv-SE"/>
              </w:rPr>
              <w:t>(G)</w:t>
            </w:r>
            <w:r w:rsidRPr="00B62A91">
              <w:rPr>
                <w:rFonts w:ascii="Times New Roman" w:eastAsia="Times New Roman" w:hAnsi="Times New Roman" w:cs="Times New Roman"/>
                <w:sz w:val="24"/>
                <w:szCs w:val="24"/>
                <w:lang w:eastAsia="sv-SE"/>
              </w:rPr>
              <w:t xml:space="preserve"> 2023</w:t>
            </w:r>
          </w:p>
          <w:p w:rsidR="00B62A91" w:rsidRPr="00B62A91" w:rsidRDefault="00B62A91" w:rsidP="00B62A91">
            <w:pPr>
              <w:rPr>
                <w:rFonts w:ascii="Times New Roman" w:eastAsia="Times New Roman" w:hAnsi="Times New Roman" w:cs="Times New Roman"/>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rPr>
                <w:rFonts w:ascii="Times New Roman" w:eastAsia="Times New Roman" w:hAnsi="Times New Roman" w:cs="Times New Roman"/>
                <w:sz w:val="24"/>
                <w:szCs w:val="24"/>
                <w:lang w:eastAsia="sv-SE"/>
              </w:rPr>
            </w:pPr>
          </w:p>
          <w:p w:rsidR="00B62A91" w:rsidRPr="00B62A91" w:rsidRDefault="00B62A91" w:rsidP="00B62A91">
            <w:pPr>
              <w:rPr>
                <w:rFonts w:ascii="Times New Roman" w:eastAsia="Times New Roman" w:hAnsi="Times New Roman" w:cs="Times New Roman"/>
                <w:sz w:val="24"/>
                <w:szCs w:val="24"/>
                <w:lang w:eastAsia="sv-SE"/>
              </w:rPr>
            </w:pPr>
          </w:p>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1.079:-</w:t>
            </w:r>
          </w:p>
          <w:p w:rsidR="00B62A91" w:rsidRPr="00B62A91" w:rsidRDefault="00B62A91" w:rsidP="00B62A91">
            <w:pPr>
              <w:jc w:val="center"/>
              <w:rPr>
                <w:rFonts w:ascii="Times New Roman" w:eastAsia="Times New Roman" w:hAnsi="Times New Roman" w:cs="Times New Roman"/>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tabs>
                <w:tab w:val="left" w:pos="351"/>
              </w:tabs>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ab/>
            </w: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1.2.1</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Fyrverkeriförsäljning</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6 x G</w:t>
            </w: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4 x G</w:t>
            </w: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1.2.2</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Explosiv vara mindre omfattning</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Mängden får ej överstiga</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60 kg"/>
              </w:smartTagPr>
              <w:r w:rsidRPr="00B62A91">
                <w:rPr>
                  <w:rFonts w:ascii="Times New Roman" w:eastAsia="Times New Roman" w:hAnsi="Times New Roman" w:cs="Times New Roman"/>
                  <w:sz w:val="24"/>
                  <w:szCs w:val="24"/>
                  <w:lang w:eastAsia="sv-SE"/>
                </w:rPr>
                <w:t>60 kg</w:t>
              </w:r>
            </w:smartTag>
            <w:r w:rsidRPr="00B62A91">
              <w:rPr>
                <w:rFonts w:ascii="Times New Roman" w:eastAsia="Times New Roman" w:hAnsi="Times New Roman" w:cs="Times New Roman"/>
                <w:sz w:val="24"/>
                <w:szCs w:val="24"/>
                <w:lang w:eastAsia="sv-SE"/>
              </w:rPr>
              <w:t xml:space="preserve"> i riskgrupp 1.1 och 1.5,</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150 kg"/>
              </w:smartTagPr>
              <w:r w:rsidRPr="00B62A91">
                <w:rPr>
                  <w:rFonts w:ascii="Times New Roman" w:eastAsia="Times New Roman" w:hAnsi="Times New Roman" w:cs="Times New Roman"/>
                  <w:sz w:val="24"/>
                  <w:szCs w:val="24"/>
                  <w:lang w:eastAsia="sv-SE"/>
                </w:rPr>
                <w:t>150 kg</w:t>
              </w:r>
            </w:smartTag>
            <w:r w:rsidRPr="00B62A91">
              <w:rPr>
                <w:rFonts w:ascii="Times New Roman" w:eastAsia="Times New Roman" w:hAnsi="Times New Roman" w:cs="Times New Roman"/>
                <w:sz w:val="24"/>
                <w:szCs w:val="24"/>
                <w:lang w:eastAsia="sv-SE"/>
              </w:rPr>
              <w:t xml:space="preserve"> i riskgrupp 1.2, varvid varje enskild artikel får väga högst 100 kg,</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150 kg"/>
              </w:smartTagPr>
              <w:r w:rsidRPr="00B62A91">
                <w:rPr>
                  <w:rFonts w:ascii="Times New Roman" w:eastAsia="Times New Roman" w:hAnsi="Times New Roman" w:cs="Times New Roman"/>
                  <w:sz w:val="24"/>
                  <w:szCs w:val="24"/>
                  <w:lang w:eastAsia="sv-SE"/>
                </w:rPr>
                <w:t>150 kg</w:t>
              </w:r>
            </w:smartTag>
            <w:r w:rsidRPr="00B62A91">
              <w:rPr>
                <w:rFonts w:ascii="Times New Roman" w:eastAsia="Times New Roman" w:hAnsi="Times New Roman" w:cs="Times New Roman"/>
                <w:sz w:val="24"/>
                <w:szCs w:val="24"/>
                <w:lang w:eastAsia="sv-SE"/>
              </w:rPr>
              <w:t xml:space="preserve"> i riskgrupp 1.3,</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500 kg"/>
              </w:smartTagPr>
              <w:r w:rsidRPr="00B62A91">
                <w:rPr>
                  <w:rFonts w:ascii="Times New Roman" w:eastAsia="Times New Roman" w:hAnsi="Times New Roman" w:cs="Times New Roman"/>
                  <w:sz w:val="24"/>
                  <w:szCs w:val="24"/>
                  <w:lang w:eastAsia="sv-SE"/>
                </w:rPr>
                <w:t>500 kg</w:t>
              </w:r>
            </w:smartTag>
            <w:r w:rsidRPr="00B62A91">
              <w:rPr>
                <w:rFonts w:ascii="Times New Roman" w:eastAsia="Times New Roman" w:hAnsi="Times New Roman" w:cs="Times New Roman"/>
                <w:sz w:val="24"/>
                <w:szCs w:val="24"/>
                <w:lang w:eastAsia="sv-SE"/>
              </w:rPr>
              <w:t xml:space="preserve"> i riskgrupp 1.4, eller</w:t>
            </w:r>
          </w:p>
          <w:p w:rsidR="00B62A91" w:rsidRPr="00B62A91" w:rsidRDefault="00B62A91" w:rsidP="00B62A91">
            <w:pPr>
              <w:rPr>
                <w:rFonts w:ascii="Times New Roman" w:eastAsia="Times New Roman" w:hAnsi="Times New Roman" w:cs="Times New Roman"/>
                <w:sz w:val="24"/>
                <w:szCs w:val="24"/>
                <w:lang w:eastAsia="sv-SE"/>
              </w:rPr>
            </w:pPr>
            <w:smartTag w:uri="urn:schemas-microsoft-com:office:smarttags" w:element="metricconverter">
              <w:smartTagPr>
                <w:attr w:name="ProductID" w:val="1 000 kg"/>
              </w:smartTagPr>
              <w:r w:rsidRPr="00B62A91">
                <w:rPr>
                  <w:rFonts w:ascii="Times New Roman" w:eastAsia="Times New Roman" w:hAnsi="Times New Roman" w:cs="Times New Roman"/>
                  <w:sz w:val="24"/>
                  <w:szCs w:val="24"/>
                  <w:lang w:eastAsia="sv-SE"/>
                </w:rPr>
                <w:t xml:space="preserve">1 </w:t>
              </w:r>
              <w:smartTag w:uri="urn:schemas-microsoft-com:office:smarttags" w:element="metricconverter">
                <w:smartTagPr>
                  <w:attr w:name="ProductID" w:val="000 kg"/>
                </w:smartTagPr>
                <w:r w:rsidRPr="00B62A91">
                  <w:rPr>
                    <w:rFonts w:ascii="Times New Roman" w:eastAsia="Times New Roman" w:hAnsi="Times New Roman" w:cs="Times New Roman"/>
                    <w:sz w:val="24"/>
                    <w:szCs w:val="24"/>
                    <w:lang w:eastAsia="sv-SE"/>
                  </w:rPr>
                  <w:t>000 kg</w:t>
                </w:r>
              </w:smartTag>
            </w:smartTag>
            <w:r w:rsidRPr="00B62A91">
              <w:rPr>
                <w:rFonts w:ascii="Times New Roman" w:eastAsia="Times New Roman" w:hAnsi="Times New Roman" w:cs="Times New Roman"/>
                <w:sz w:val="24"/>
                <w:szCs w:val="24"/>
                <w:lang w:eastAsia="sv-SE"/>
              </w:rPr>
              <w:t xml:space="preserve"> i riskgrupp 1.4S, 1.6.</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6 x G</w:t>
            </w: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4 x G</w:t>
            </w: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lastRenderedPageBreak/>
              <w:t>1.2.3</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Explosiv vara större omfattning</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Mängden överstiger</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60 kg"/>
              </w:smartTagPr>
              <w:r w:rsidRPr="00B62A91">
                <w:rPr>
                  <w:rFonts w:ascii="Times New Roman" w:eastAsia="Times New Roman" w:hAnsi="Times New Roman" w:cs="Times New Roman"/>
                  <w:sz w:val="24"/>
                  <w:szCs w:val="24"/>
                  <w:lang w:eastAsia="sv-SE"/>
                </w:rPr>
                <w:t>60 kg</w:t>
              </w:r>
            </w:smartTag>
            <w:r w:rsidRPr="00B62A91">
              <w:rPr>
                <w:rFonts w:ascii="Times New Roman" w:eastAsia="Times New Roman" w:hAnsi="Times New Roman" w:cs="Times New Roman"/>
                <w:sz w:val="24"/>
                <w:szCs w:val="24"/>
                <w:lang w:eastAsia="sv-SE"/>
              </w:rPr>
              <w:t xml:space="preserve"> i riskgrupp 1.1 och 1.5,</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150 kg"/>
              </w:smartTagPr>
              <w:r w:rsidRPr="00B62A91">
                <w:rPr>
                  <w:rFonts w:ascii="Times New Roman" w:eastAsia="Times New Roman" w:hAnsi="Times New Roman" w:cs="Times New Roman"/>
                  <w:sz w:val="24"/>
                  <w:szCs w:val="24"/>
                  <w:lang w:eastAsia="sv-SE"/>
                </w:rPr>
                <w:t>150 kg</w:t>
              </w:r>
            </w:smartTag>
            <w:r w:rsidRPr="00B62A91">
              <w:rPr>
                <w:rFonts w:ascii="Times New Roman" w:eastAsia="Times New Roman" w:hAnsi="Times New Roman" w:cs="Times New Roman"/>
                <w:sz w:val="24"/>
                <w:szCs w:val="24"/>
                <w:lang w:eastAsia="sv-SE"/>
              </w:rPr>
              <w:t xml:space="preserve"> i riskgrupp 1.2, varvid varje enskild artikel får väga högst 100 kg,</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150 kg"/>
              </w:smartTagPr>
              <w:r w:rsidRPr="00B62A91">
                <w:rPr>
                  <w:rFonts w:ascii="Times New Roman" w:eastAsia="Times New Roman" w:hAnsi="Times New Roman" w:cs="Times New Roman"/>
                  <w:sz w:val="24"/>
                  <w:szCs w:val="24"/>
                  <w:lang w:eastAsia="sv-SE"/>
                </w:rPr>
                <w:t>150 kg</w:t>
              </w:r>
            </w:smartTag>
            <w:r w:rsidRPr="00B62A91">
              <w:rPr>
                <w:rFonts w:ascii="Times New Roman" w:eastAsia="Times New Roman" w:hAnsi="Times New Roman" w:cs="Times New Roman"/>
                <w:sz w:val="24"/>
                <w:szCs w:val="24"/>
                <w:lang w:eastAsia="sv-SE"/>
              </w:rPr>
              <w:t xml:space="preserve"> i riskgrupp 1.3,</w:t>
            </w:r>
          </w:p>
          <w:p w:rsidR="00B62A91" w:rsidRPr="00B62A91" w:rsidRDefault="00B62A91" w:rsidP="00B62A91">
            <w:pPr>
              <w:autoSpaceDE w:val="0"/>
              <w:autoSpaceDN w:val="0"/>
              <w:adjustRightInd w:val="0"/>
              <w:rPr>
                <w:rFonts w:ascii="Times New Roman" w:eastAsia="Times New Roman" w:hAnsi="Times New Roman" w:cs="Times New Roman"/>
                <w:sz w:val="24"/>
                <w:szCs w:val="24"/>
                <w:lang w:eastAsia="sv-SE"/>
              </w:rPr>
            </w:pPr>
            <w:smartTag w:uri="urn:schemas-microsoft-com:office:smarttags" w:element="metricconverter">
              <w:smartTagPr>
                <w:attr w:name="ProductID" w:val="500 kg"/>
              </w:smartTagPr>
              <w:r w:rsidRPr="00B62A91">
                <w:rPr>
                  <w:rFonts w:ascii="Times New Roman" w:eastAsia="Times New Roman" w:hAnsi="Times New Roman" w:cs="Times New Roman"/>
                  <w:sz w:val="24"/>
                  <w:szCs w:val="24"/>
                  <w:lang w:eastAsia="sv-SE"/>
                </w:rPr>
                <w:t>500 kg</w:t>
              </w:r>
            </w:smartTag>
            <w:r w:rsidRPr="00B62A91">
              <w:rPr>
                <w:rFonts w:ascii="Times New Roman" w:eastAsia="Times New Roman" w:hAnsi="Times New Roman" w:cs="Times New Roman"/>
                <w:sz w:val="24"/>
                <w:szCs w:val="24"/>
                <w:lang w:eastAsia="sv-SE"/>
              </w:rPr>
              <w:t xml:space="preserve"> i riskgrupp 1.4, eller</w:t>
            </w:r>
          </w:p>
          <w:p w:rsidR="00B62A91" w:rsidRPr="00B62A91" w:rsidRDefault="00B62A91" w:rsidP="00B62A91">
            <w:pPr>
              <w:rPr>
                <w:rFonts w:ascii="Times New Roman" w:eastAsia="Times New Roman" w:hAnsi="Times New Roman" w:cs="Times New Roman"/>
                <w:sz w:val="24"/>
                <w:szCs w:val="24"/>
                <w:lang w:eastAsia="sv-SE"/>
              </w:rPr>
            </w:pPr>
            <w:smartTag w:uri="urn:schemas-microsoft-com:office:smarttags" w:element="metricconverter">
              <w:smartTagPr>
                <w:attr w:name="ProductID" w:val="1 000 kg"/>
              </w:smartTagPr>
              <w:r w:rsidRPr="00B62A91">
                <w:rPr>
                  <w:rFonts w:ascii="Times New Roman" w:eastAsia="Times New Roman" w:hAnsi="Times New Roman" w:cs="Times New Roman"/>
                  <w:sz w:val="24"/>
                  <w:szCs w:val="24"/>
                  <w:lang w:eastAsia="sv-SE"/>
                </w:rPr>
                <w:t xml:space="preserve">1 </w:t>
              </w:r>
              <w:smartTag w:uri="urn:schemas-microsoft-com:office:smarttags" w:element="metricconverter">
                <w:smartTagPr>
                  <w:attr w:name="ProductID" w:val="000 kg"/>
                </w:smartTagPr>
                <w:r w:rsidRPr="00B62A91">
                  <w:rPr>
                    <w:rFonts w:ascii="Times New Roman" w:eastAsia="Times New Roman" w:hAnsi="Times New Roman" w:cs="Times New Roman"/>
                    <w:sz w:val="24"/>
                    <w:szCs w:val="24"/>
                    <w:lang w:eastAsia="sv-SE"/>
                  </w:rPr>
                  <w:t>000 kg</w:t>
                </w:r>
              </w:smartTag>
            </w:smartTag>
            <w:r w:rsidRPr="00B62A91">
              <w:rPr>
                <w:rFonts w:ascii="Times New Roman" w:eastAsia="Times New Roman" w:hAnsi="Times New Roman" w:cs="Times New Roman"/>
                <w:sz w:val="24"/>
                <w:szCs w:val="24"/>
                <w:lang w:eastAsia="sv-SE"/>
              </w:rPr>
              <w:t xml:space="preserve"> i riskgrupp 1.4S, 1.6.</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10 x G</w:t>
            </w: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6 x G</w:t>
            </w: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1.2.4</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 xml:space="preserve">Godkännande av föreståndare i de fall detta inte sker i samband med tillstånd </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1,5 x G</w:t>
            </w:r>
          </w:p>
          <w:p w:rsidR="00B62A91" w:rsidRPr="00B62A91" w:rsidRDefault="00B62A91" w:rsidP="00B62A91">
            <w:pPr>
              <w:jc w:val="center"/>
              <w:rPr>
                <w:rFonts w:ascii="Times New Roman" w:eastAsia="Times New Roman" w:hAnsi="Times New Roman" w:cs="Times New Roman"/>
                <w:sz w:val="24"/>
                <w:szCs w:val="20"/>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1,5 x G</w:t>
            </w: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1.2.5</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sz w:val="24"/>
                <w:szCs w:val="20"/>
                <w:lang w:eastAsia="sv-SE"/>
              </w:rPr>
              <w:t>Godkännande av deltagare i de fall detta inte sker i samband med tillstånd</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sz w:val="24"/>
                <w:szCs w:val="20"/>
                <w:lang w:eastAsia="sv-SE"/>
              </w:rPr>
              <w:t>1 x G</w:t>
            </w: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sz w:val="24"/>
                <w:szCs w:val="20"/>
                <w:lang w:eastAsia="sv-SE"/>
              </w:rPr>
              <w:t>1 x G</w:t>
            </w: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1.2.6</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u w:val="single"/>
                <w:lang w:eastAsia="sv-SE"/>
              </w:rPr>
            </w:pPr>
            <w:r w:rsidRPr="00B62A91">
              <w:rPr>
                <w:rFonts w:ascii="Times New Roman" w:eastAsia="Times New Roman" w:hAnsi="Times New Roman" w:cs="Times New Roman"/>
                <w:b/>
                <w:bCs/>
                <w:sz w:val="24"/>
                <w:szCs w:val="24"/>
                <w:lang w:eastAsia="sv-SE"/>
              </w:rPr>
              <w:t>Mindre komplettering till ett gällande</w:t>
            </w:r>
            <w:r w:rsidRPr="00B62A91">
              <w:rPr>
                <w:rFonts w:ascii="Times New Roman" w:eastAsia="Times New Roman" w:hAnsi="Times New Roman" w:cs="Times New Roman"/>
                <w:bCs/>
                <w:sz w:val="24"/>
                <w:szCs w:val="24"/>
                <w:u w:val="single"/>
                <w:lang w:eastAsia="sv-SE"/>
              </w:rPr>
              <w:t xml:space="preserve"> </w:t>
            </w:r>
            <w:r w:rsidRPr="00B62A91">
              <w:rPr>
                <w:rFonts w:ascii="Times New Roman" w:eastAsia="Times New Roman" w:hAnsi="Times New Roman" w:cs="Times New Roman"/>
                <w:b/>
                <w:bCs/>
                <w:sz w:val="24"/>
                <w:szCs w:val="24"/>
                <w:lang w:eastAsia="sv-SE"/>
              </w:rPr>
              <w:t>tillstånd</w:t>
            </w:r>
            <w:r w:rsidRPr="00B62A91">
              <w:rPr>
                <w:rFonts w:ascii="Times New Roman" w:eastAsia="Times New Roman" w:hAnsi="Times New Roman" w:cs="Times New Roman"/>
                <w:bCs/>
                <w:sz w:val="24"/>
                <w:szCs w:val="24"/>
                <w:u w:val="single"/>
                <w:lang w:eastAsia="sv-SE"/>
              </w:rPr>
              <w:t xml:space="preserve"> </w:t>
            </w:r>
            <w:r w:rsidRPr="00B62A91">
              <w:rPr>
                <w:rFonts w:ascii="Times New Roman" w:eastAsia="Times New Roman" w:hAnsi="Times New Roman" w:cs="Times New Roman"/>
                <w:bCs/>
                <w:sz w:val="24"/>
                <w:szCs w:val="24"/>
                <w:lang w:eastAsia="sv-SE"/>
              </w:rPr>
              <w:t>(ej förlängd tillståndstid)</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1,5 x G</w:t>
            </w: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1.2.7</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Samverkan om generellt undantag</w:t>
            </w:r>
          </w:p>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bCs/>
                <w:sz w:val="24"/>
                <w:szCs w:val="24"/>
                <w:lang w:eastAsia="sv-SE"/>
              </w:rPr>
              <w:t>att införa eld, gnista eller dylikt i förbudsområdet</w:t>
            </w: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x G</w:t>
            </w: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top w:val="nil"/>
              <w:left w:val="nil"/>
              <w:bottom w:val="nil"/>
              <w:right w:val="single" w:sz="4" w:space="0" w:color="auto"/>
            </w:tcBorders>
          </w:tcPr>
          <w:p w:rsidR="00B62A91" w:rsidRPr="00B62A91" w:rsidRDefault="00B62A91" w:rsidP="00B62A91">
            <w:pPr>
              <w:rPr>
                <w:rFonts w:ascii="Times New Roman" w:eastAsia="Times New Roman" w:hAnsi="Times New Roman" w:cs="Times New Roman"/>
                <w:sz w:val="24"/>
                <w:szCs w:val="24"/>
                <w:lang w:eastAsia="sv-SE"/>
              </w:rPr>
            </w:pPr>
          </w:p>
        </w:tc>
        <w:tc>
          <w:tcPr>
            <w:tcW w:w="1842"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nil"/>
              <w:left w:val="single" w:sz="4" w:space="0" w:color="auto"/>
              <w:bottom w:val="nil"/>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Borders>
              <w:top w:val="nil"/>
              <w:left w:val="nil"/>
              <w:bottom w:val="nil"/>
              <w:right w:val="nil"/>
            </w:tcBorders>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1.2.8</w:t>
            </w:r>
          </w:p>
        </w:tc>
        <w:tc>
          <w:tcPr>
            <w:tcW w:w="4678" w:type="dxa"/>
            <w:tcBorders>
              <w:top w:val="nil"/>
              <w:left w:val="nil"/>
              <w:bottom w:val="nil"/>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u w:val="single"/>
                <w:lang w:eastAsia="sv-SE"/>
              </w:rPr>
            </w:pPr>
            <w:r w:rsidRPr="00B62A91">
              <w:rPr>
                <w:rFonts w:ascii="Times New Roman" w:eastAsia="Times New Roman" w:hAnsi="Times New Roman" w:cs="Times New Roman"/>
                <w:b/>
                <w:bCs/>
                <w:sz w:val="24"/>
                <w:szCs w:val="24"/>
                <w:lang w:eastAsia="sv-SE"/>
              </w:rPr>
              <w:t>Avslag</w:t>
            </w:r>
          </w:p>
        </w:tc>
        <w:tc>
          <w:tcPr>
            <w:tcW w:w="1842" w:type="dxa"/>
            <w:tcBorders>
              <w:top w:val="nil"/>
              <w:left w:val="single" w:sz="4" w:space="0" w:color="auto"/>
              <w:bottom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x G</w:t>
            </w:r>
          </w:p>
        </w:tc>
        <w:tc>
          <w:tcPr>
            <w:tcW w:w="1843" w:type="dxa"/>
            <w:tcBorders>
              <w:top w:val="nil"/>
              <w:left w:val="single" w:sz="4" w:space="0" w:color="auto"/>
              <w:bottom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x G</w:t>
            </w:r>
          </w:p>
          <w:p w:rsidR="00B62A91" w:rsidRPr="00B62A91" w:rsidRDefault="00B62A91" w:rsidP="00B62A91">
            <w:pPr>
              <w:rPr>
                <w:rFonts w:ascii="Times New Roman" w:eastAsia="Times New Roman" w:hAnsi="Times New Roman" w:cs="Times New Roman"/>
                <w:szCs w:val="20"/>
                <w:lang w:eastAsia="sv-SE"/>
              </w:rPr>
            </w:pPr>
          </w:p>
        </w:tc>
      </w:tr>
    </w:tbl>
    <w:p w:rsidR="00B62A91" w:rsidRPr="00B62A91" w:rsidRDefault="00B62A91" w:rsidP="00B62A91">
      <w:pPr>
        <w:rPr>
          <w:rFonts w:ascii="Times New Roman" w:eastAsia="Times New Roman" w:hAnsi="Times New Roman" w:cs="Times New Roman"/>
          <w:sz w:val="24"/>
          <w:szCs w:val="24"/>
          <w:lang w:eastAsia="sv-SE"/>
        </w:rPr>
      </w:pPr>
    </w:p>
    <w:p w:rsidR="00B62A91" w:rsidRPr="00B62A91" w:rsidRDefault="00B62A91" w:rsidP="00B62A91">
      <w:pPr>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u w:val="single"/>
          <w:lang w:eastAsia="sv-SE"/>
        </w:rPr>
        <w:t>Kommentarer till tillståndshanteringen för explosiv vara</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Handläggningstiden ökas med 1 grundbelopp om ärendet behöver beslutas av nämnden, till exempel ärenden av sådant slag som ej får omfattas av delegerad beslutanderätt enligt 6 kap 34 § i kommunallagen eller om nämnden behöver informeras om ärendet genom presentation vid sammanträde. För komplicerade ärenden eller för ärenden som inte kan kategoriseras in enligt tabellen ovan eller för särskilt tidskrävande ärenden, ska individuell tidsberäkning tillämpas. Särskilt tidskrävande ärenden är till exempel ärenden som krävt flera besök på plats, förhandsbesked eller då begäran om kompletterande handlingar gjorts på grund av bristfälliga ansökningshandlingar och andra åtgärder som inte redovisas i tabellen </w:t>
      </w:r>
      <w:proofErr w:type="spellStart"/>
      <w:r w:rsidRPr="00B62A91">
        <w:rPr>
          <w:rFonts w:ascii="Times New Roman" w:eastAsia="Times New Roman" w:hAnsi="Times New Roman" w:cs="Times New Roman"/>
          <w:sz w:val="24"/>
          <w:szCs w:val="24"/>
          <w:lang w:eastAsia="sv-SE"/>
        </w:rPr>
        <w:t>tidsdebiteras</w:t>
      </w:r>
      <w:proofErr w:type="spellEnd"/>
      <w:r w:rsidRPr="00B62A91">
        <w:rPr>
          <w:rFonts w:ascii="Times New Roman" w:eastAsia="Times New Roman" w:hAnsi="Times New Roman" w:cs="Times New Roman"/>
          <w:sz w:val="24"/>
          <w:szCs w:val="24"/>
          <w:lang w:eastAsia="sv-SE"/>
        </w:rPr>
        <w:t xml:space="preserve"> efter faktiskt kostnad.</w:t>
      </w:r>
    </w:p>
    <w:p w:rsidR="00B62A91" w:rsidRPr="00B62A91" w:rsidRDefault="00B62A91" w:rsidP="00B62A91">
      <w:pP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br w:type="page"/>
      </w:r>
    </w:p>
    <w:tbl>
      <w:tblPr>
        <w:tblW w:w="9284" w:type="dxa"/>
        <w:tblLayout w:type="fixed"/>
        <w:tblCellMar>
          <w:left w:w="70" w:type="dxa"/>
          <w:right w:w="70" w:type="dxa"/>
        </w:tblCellMar>
        <w:tblLook w:val="0000" w:firstRow="0" w:lastRow="0" w:firstColumn="0" w:lastColumn="0" w:noHBand="0" w:noVBand="0"/>
      </w:tblPr>
      <w:tblGrid>
        <w:gridCol w:w="921"/>
        <w:gridCol w:w="4678"/>
        <w:gridCol w:w="1842"/>
        <w:gridCol w:w="1843"/>
      </w:tblGrid>
      <w:tr w:rsidR="00B62A91" w:rsidRPr="00B62A91" w:rsidTr="006C2805">
        <w:trPr>
          <w:trHeight w:val="269"/>
        </w:trPr>
        <w:tc>
          <w:tcPr>
            <w:tcW w:w="921" w:type="dxa"/>
            <w:tcBorders>
              <w:top w:val="single" w:sz="6" w:space="0" w:color="auto"/>
              <w:left w:val="single" w:sz="6" w:space="0" w:color="auto"/>
              <w:bottom w:val="single" w:sz="4" w:space="0" w:color="auto"/>
              <w:right w:val="nil"/>
            </w:tcBorders>
            <w:shd w:val="clear" w:color="auto" w:fill="DBE5F1"/>
          </w:tcPr>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lastRenderedPageBreak/>
              <w:t>1</w:t>
            </w:r>
          </w:p>
        </w:tc>
        <w:tc>
          <w:tcPr>
            <w:tcW w:w="4678" w:type="dxa"/>
            <w:tcBorders>
              <w:top w:val="single" w:sz="6" w:space="0" w:color="auto"/>
              <w:left w:val="nil"/>
              <w:bottom w:val="single" w:sz="4" w:space="0" w:color="auto"/>
              <w:right w:val="nil"/>
            </w:tcBorders>
            <w:shd w:val="clear" w:color="auto" w:fill="DBE5F1"/>
          </w:tcPr>
          <w:p w:rsidR="00B62A91" w:rsidRPr="00B62A91" w:rsidRDefault="00B62A91" w:rsidP="00B62A91">
            <w:pPr>
              <w:tabs>
                <w:tab w:val="left" w:pos="1134"/>
                <w:tab w:val="left" w:pos="6237"/>
                <w:tab w:val="left" w:pos="7938"/>
                <w:tab w:val="left" w:pos="8080"/>
              </w:tabs>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sz w:val="24"/>
                <w:szCs w:val="24"/>
                <w:lang w:eastAsia="sv-SE"/>
              </w:rPr>
              <w:t>MYNDIGHETSUTÖVNING – TILLSTÅND BRANDFARLIG VARA</w:t>
            </w:r>
          </w:p>
        </w:tc>
        <w:tc>
          <w:tcPr>
            <w:tcW w:w="1842" w:type="dxa"/>
            <w:tcBorders>
              <w:top w:val="single" w:sz="6" w:space="0" w:color="auto"/>
              <w:left w:val="single" w:sz="6" w:space="0" w:color="auto"/>
              <w:bottom w:val="single" w:sz="4" w:space="0" w:color="auto"/>
              <w:right w:val="single" w:sz="6" w:space="0" w:color="auto"/>
            </w:tcBorders>
            <w:shd w:val="clear" w:color="auto" w:fill="DBE5F1"/>
          </w:tcPr>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Nytt tillstånd</w:t>
            </w:r>
          </w:p>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Exkl. moms</w:t>
            </w:r>
          </w:p>
        </w:tc>
        <w:tc>
          <w:tcPr>
            <w:tcW w:w="1843" w:type="dxa"/>
            <w:tcBorders>
              <w:top w:val="single" w:sz="6" w:space="0" w:color="auto"/>
              <w:left w:val="nil"/>
              <w:bottom w:val="single" w:sz="4" w:space="0" w:color="auto"/>
              <w:right w:val="single" w:sz="6" w:space="0" w:color="auto"/>
            </w:tcBorders>
            <w:shd w:val="clear" w:color="auto" w:fill="DBE5F1"/>
          </w:tcPr>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Återkommande</w:t>
            </w:r>
          </w:p>
          <w:p w:rsidR="00B62A91" w:rsidRPr="00B62A91" w:rsidRDefault="00B62A91" w:rsidP="00B62A91">
            <w:pPr>
              <w:tabs>
                <w:tab w:val="left" w:pos="1134"/>
                <w:tab w:val="left" w:pos="6237"/>
                <w:tab w:val="left" w:pos="7938"/>
                <w:tab w:val="left" w:pos="8080"/>
              </w:tabs>
              <w:jc w:val="center"/>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sz w:val="24"/>
                <w:szCs w:val="24"/>
                <w:lang w:eastAsia="sv-SE"/>
              </w:rPr>
              <w:t>tillstånd</w:t>
            </w: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top w:val="single" w:sz="4" w:space="0" w:color="auto"/>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top w:val="single" w:sz="4" w:space="0" w:color="auto"/>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sz w:val="24"/>
                <w:szCs w:val="24"/>
                <w:lang w:eastAsia="sv-SE"/>
              </w:rPr>
            </w:pPr>
            <w:r w:rsidRPr="00B62A91">
              <w:rPr>
                <w:rFonts w:ascii="Times New Roman" w:eastAsia="Times New Roman" w:hAnsi="Times New Roman" w:cs="Times New Roman"/>
                <w:b/>
                <w:bCs/>
                <w:sz w:val="24"/>
                <w:szCs w:val="24"/>
                <w:lang w:eastAsia="sv-SE"/>
              </w:rPr>
              <w:t>Tillstånd för brandfarligavaror e</w:t>
            </w:r>
            <w:r w:rsidRPr="00B62A91">
              <w:rPr>
                <w:rFonts w:ascii="Times New Roman" w:eastAsia="Times New Roman" w:hAnsi="Times New Roman" w:cs="Times New Roman"/>
                <w:b/>
                <w:sz w:val="24"/>
                <w:szCs w:val="24"/>
                <w:lang w:eastAsia="sv-SE"/>
              </w:rPr>
              <w:t xml:space="preserve">nl. § 27 </w:t>
            </w:r>
            <w:r w:rsidR="009E19EB">
              <w:rPr>
                <w:rFonts w:ascii="Times New Roman" w:eastAsia="Times New Roman" w:hAnsi="Times New Roman" w:cs="Times New Roman"/>
                <w:b/>
                <w:sz w:val="24"/>
                <w:szCs w:val="24"/>
                <w:lang w:eastAsia="sv-SE"/>
              </w:rPr>
              <w:t>l</w:t>
            </w:r>
            <w:r w:rsidRPr="00B62A91">
              <w:rPr>
                <w:rFonts w:ascii="Times New Roman" w:eastAsia="Times New Roman" w:hAnsi="Times New Roman" w:cs="Times New Roman"/>
                <w:b/>
                <w:sz w:val="24"/>
                <w:szCs w:val="24"/>
                <w:lang w:eastAsia="sv-SE"/>
              </w:rPr>
              <w:t>agen om brandfarliga och explosiva varor</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Grundbeloppet </w:t>
            </w:r>
            <w:r w:rsidRPr="00B62A91">
              <w:rPr>
                <w:rFonts w:ascii="Times New Roman" w:eastAsia="Times New Roman" w:hAnsi="Times New Roman" w:cs="Times New Roman"/>
                <w:b/>
                <w:sz w:val="24"/>
                <w:szCs w:val="24"/>
                <w:lang w:eastAsia="sv-SE"/>
              </w:rPr>
              <w:t>(G)</w:t>
            </w:r>
            <w:r w:rsidRPr="00B62A91">
              <w:rPr>
                <w:rFonts w:ascii="Times New Roman" w:eastAsia="Times New Roman" w:hAnsi="Times New Roman" w:cs="Times New Roman"/>
                <w:sz w:val="24"/>
                <w:szCs w:val="24"/>
                <w:lang w:eastAsia="sv-SE"/>
              </w:rPr>
              <w:t xml:space="preserve"> 2023</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rPr>
                <w:rFonts w:ascii="Times New Roman" w:eastAsia="Times New Roman" w:hAnsi="Times New Roman" w:cs="Times New Roman"/>
                <w:sz w:val="24"/>
                <w:szCs w:val="24"/>
                <w:lang w:eastAsia="sv-SE"/>
              </w:rPr>
            </w:pPr>
          </w:p>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1.079:-</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jc w:val="center"/>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1.3.1</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sz w:val="24"/>
                <w:szCs w:val="24"/>
                <w:u w:val="single"/>
                <w:lang w:eastAsia="sv-SE"/>
              </w:rPr>
            </w:pPr>
            <w:r w:rsidRPr="00B62A91">
              <w:rPr>
                <w:rFonts w:ascii="Times New Roman" w:eastAsia="Times New Roman" w:hAnsi="Times New Roman" w:cs="Times New Roman"/>
                <w:b/>
                <w:bCs/>
                <w:sz w:val="24"/>
                <w:szCs w:val="24"/>
                <w:lang w:eastAsia="sv-SE"/>
              </w:rPr>
              <w:t>Enklare anläggning för förvaring</w:t>
            </w:r>
            <w:r w:rsidRPr="00B62A91">
              <w:rPr>
                <w:rFonts w:ascii="Times New Roman" w:eastAsia="Times New Roman" w:hAnsi="Times New Roman" w:cs="Times New Roman"/>
                <w:bCs/>
                <w:sz w:val="24"/>
                <w:szCs w:val="24"/>
                <w:lang w:eastAsia="sv-SE"/>
              </w:rPr>
              <w:t xml:space="preserve"> </w:t>
            </w:r>
            <w:r w:rsidRPr="00B62A91">
              <w:rPr>
                <w:rFonts w:ascii="Times New Roman" w:eastAsia="Times New Roman" w:hAnsi="Times New Roman" w:cs="Times New Roman"/>
                <w:b/>
                <w:bCs/>
                <w:sz w:val="24"/>
                <w:szCs w:val="24"/>
                <w:lang w:eastAsia="sv-SE"/>
              </w:rPr>
              <w:t>i cistern</w:t>
            </w:r>
            <w:r w:rsidRPr="00B62A91">
              <w:rPr>
                <w:rFonts w:ascii="Times New Roman" w:eastAsia="Times New Roman" w:hAnsi="Times New Roman" w:cs="Times New Roman"/>
                <w:b/>
                <w:sz w:val="24"/>
                <w:szCs w:val="24"/>
                <w:u w:val="single"/>
                <w:lang w:eastAsia="sv-SE"/>
              </w:rPr>
              <w:t xml:space="preserve"> </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(t.ex. lantbruk)</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 cistern</w:t>
            </w:r>
          </w:p>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u w:val="single"/>
                <w:lang w:eastAsia="sv-SE"/>
              </w:rPr>
            </w:pPr>
            <w:r w:rsidRPr="00B62A91">
              <w:rPr>
                <w:rFonts w:ascii="Times New Roman" w:eastAsia="Times New Roman" w:hAnsi="Times New Roman" w:cs="Times New Roman"/>
                <w:sz w:val="24"/>
                <w:szCs w:val="24"/>
                <w:lang w:eastAsia="sv-SE"/>
              </w:rPr>
              <w:t>2 eller fler cisterner</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 xml:space="preserve">3 x G </w:t>
            </w:r>
          </w:p>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4 x G</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1,5 x G</w:t>
            </w:r>
          </w:p>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3 x G</w:t>
            </w: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1.3.2</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
                <w:bCs/>
                <w:sz w:val="24"/>
                <w:szCs w:val="24"/>
                <w:lang w:eastAsia="sv-SE"/>
              </w:rPr>
              <w:t>Anläggning för förvaring och försäljning ur cistern eller pump</w:t>
            </w:r>
            <w:r w:rsidRPr="00B62A91">
              <w:rPr>
                <w:rFonts w:ascii="Times New Roman" w:eastAsia="Times New Roman" w:hAnsi="Times New Roman" w:cs="Times New Roman"/>
                <w:bCs/>
                <w:sz w:val="24"/>
                <w:szCs w:val="24"/>
                <w:lang w:eastAsia="sv-SE"/>
              </w:rPr>
              <w:t xml:space="preserve"> (bensinstation)</w:t>
            </w:r>
          </w:p>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cistern</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bCs/>
                <w:sz w:val="24"/>
                <w:szCs w:val="24"/>
                <w:lang w:eastAsia="sv-SE"/>
              </w:rPr>
              <w:t>2 eller fler cisterner</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10</w:t>
            </w:r>
            <w:r w:rsidRPr="00B62A91">
              <w:rPr>
                <w:rFonts w:ascii="Times New Roman" w:eastAsia="Times New Roman" w:hAnsi="Times New Roman" w:cs="Times New Roman"/>
                <w:b/>
                <w:sz w:val="24"/>
                <w:szCs w:val="24"/>
                <w:lang w:eastAsia="sv-SE"/>
              </w:rPr>
              <w:t xml:space="preserve"> </w:t>
            </w:r>
            <w:r w:rsidRPr="00B62A91">
              <w:rPr>
                <w:rFonts w:ascii="Times New Roman" w:eastAsia="Times New Roman" w:hAnsi="Times New Roman" w:cs="Times New Roman"/>
                <w:sz w:val="24"/>
                <w:szCs w:val="24"/>
                <w:lang w:eastAsia="sv-SE"/>
              </w:rPr>
              <w:t>x</w:t>
            </w:r>
            <w:r w:rsidRPr="00B62A91">
              <w:rPr>
                <w:rFonts w:ascii="Times New Roman" w:eastAsia="Times New Roman" w:hAnsi="Times New Roman" w:cs="Times New Roman"/>
                <w:bCs/>
                <w:sz w:val="24"/>
                <w:szCs w:val="24"/>
                <w:lang w:eastAsia="sv-SE"/>
              </w:rPr>
              <w:t xml:space="preserve"> G</w:t>
            </w:r>
          </w:p>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12 x G</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5 x G</w:t>
            </w:r>
          </w:p>
          <w:p w:rsidR="00B62A91" w:rsidRPr="00B62A91" w:rsidRDefault="00B62A91" w:rsidP="00B62A91">
            <w:pPr>
              <w:jc w:val="cente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6 x G</w:t>
            </w: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1.3.3</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 xml:space="preserve">Försäljning av BFV, typ </w:t>
            </w:r>
            <w:proofErr w:type="spellStart"/>
            <w:r w:rsidRPr="00B62A91">
              <w:rPr>
                <w:rFonts w:ascii="Times New Roman" w:eastAsia="Times New Roman" w:hAnsi="Times New Roman" w:cs="Times New Roman"/>
                <w:b/>
                <w:bCs/>
                <w:sz w:val="24"/>
                <w:szCs w:val="24"/>
                <w:lang w:eastAsia="sv-SE"/>
              </w:rPr>
              <w:t>kemetyl</w:t>
            </w:r>
            <w:proofErr w:type="spellEnd"/>
            <w:r w:rsidRPr="00B62A91">
              <w:rPr>
                <w:rFonts w:ascii="Times New Roman" w:eastAsia="Times New Roman" w:hAnsi="Times New Roman" w:cs="Times New Roman"/>
                <w:b/>
                <w:bCs/>
                <w:sz w:val="24"/>
                <w:szCs w:val="24"/>
                <w:lang w:eastAsia="sv-SE"/>
              </w:rPr>
              <w:t xml:space="preserve">, spolarvätska, gasol och färg </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bCs/>
                <w:sz w:val="24"/>
                <w:szCs w:val="24"/>
                <w:lang w:eastAsia="sv-SE"/>
              </w:rPr>
              <w:t xml:space="preserve">Upptill 250 </w:t>
            </w:r>
            <w:r w:rsidR="009E19EB">
              <w:rPr>
                <w:rFonts w:ascii="Times New Roman" w:eastAsia="Times New Roman" w:hAnsi="Times New Roman" w:cs="Times New Roman"/>
                <w:bCs/>
                <w:sz w:val="24"/>
                <w:szCs w:val="24"/>
                <w:lang w:eastAsia="sv-SE"/>
              </w:rPr>
              <w:t>l</w:t>
            </w:r>
            <w:r w:rsidRPr="00B62A91">
              <w:rPr>
                <w:rFonts w:ascii="Times New Roman" w:eastAsia="Times New Roman" w:hAnsi="Times New Roman" w:cs="Times New Roman"/>
                <w:bCs/>
                <w:sz w:val="24"/>
                <w:szCs w:val="24"/>
                <w:lang w:eastAsia="sv-SE"/>
              </w:rPr>
              <w:t>iter i slutna behållare</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Över 250 </w:t>
            </w:r>
            <w:r w:rsidR="009E19EB">
              <w:rPr>
                <w:rFonts w:ascii="Times New Roman" w:eastAsia="Times New Roman" w:hAnsi="Times New Roman" w:cs="Times New Roman"/>
                <w:sz w:val="24"/>
                <w:szCs w:val="24"/>
                <w:lang w:eastAsia="sv-SE"/>
              </w:rPr>
              <w:t>l</w:t>
            </w:r>
            <w:r w:rsidRPr="00B62A91">
              <w:rPr>
                <w:rFonts w:ascii="Times New Roman" w:eastAsia="Times New Roman" w:hAnsi="Times New Roman" w:cs="Times New Roman"/>
                <w:sz w:val="24"/>
                <w:szCs w:val="24"/>
                <w:lang w:eastAsia="sv-SE"/>
              </w:rPr>
              <w:t>iter i slutna behållare</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jc w:val="center"/>
              <w:rPr>
                <w:rFonts w:ascii="Times New Roman" w:eastAsia="Times New Roman" w:hAnsi="Times New Roman" w:cs="Times New Roman"/>
                <w:szCs w:val="20"/>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4 x G</w:t>
            </w: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5 x G</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2 x G</w:t>
            </w: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2 x G</w:t>
            </w: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1.3.4</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Öppenhantering av BFV ex. tillverkningsanläggningar industrianläggningar, restaurangkök</w:t>
            </w:r>
          </w:p>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 xml:space="preserve">Upptill 250 </w:t>
            </w:r>
            <w:r w:rsidR="009E19EB">
              <w:rPr>
                <w:rFonts w:ascii="Times New Roman" w:eastAsia="Times New Roman" w:hAnsi="Times New Roman" w:cs="Times New Roman"/>
                <w:bCs/>
                <w:sz w:val="24"/>
                <w:szCs w:val="24"/>
                <w:lang w:eastAsia="sv-SE"/>
              </w:rPr>
              <w:t>l</w:t>
            </w:r>
            <w:r w:rsidRPr="00B62A91">
              <w:rPr>
                <w:rFonts w:ascii="Times New Roman" w:eastAsia="Times New Roman" w:hAnsi="Times New Roman" w:cs="Times New Roman"/>
                <w:bCs/>
                <w:sz w:val="24"/>
                <w:szCs w:val="24"/>
                <w:lang w:eastAsia="sv-SE"/>
              </w:rPr>
              <w:t xml:space="preserve">iter  </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Över 250 </w:t>
            </w:r>
            <w:r w:rsidR="009E19EB">
              <w:rPr>
                <w:rFonts w:ascii="Times New Roman" w:eastAsia="Times New Roman" w:hAnsi="Times New Roman" w:cs="Times New Roman"/>
                <w:sz w:val="24"/>
                <w:szCs w:val="24"/>
                <w:lang w:eastAsia="sv-SE"/>
              </w:rPr>
              <w:t>l</w:t>
            </w:r>
            <w:r w:rsidRPr="00B62A91">
              <w:rPr>
                <w:rFonts w:ascii="Times New Roman" w:eastAsia="Times New Roman" w:hAnsi="Times New Roman" w:cs="Times New Roman"/>
                <w:sz w:val="24"/>
                <w:szCs w:val="24"/>
                <w:lang w:eastAsia="sv-SE"/>
              </w:rPr>
              <w:t>iter</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4 x G</w:t>
            </w: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5 x G</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2 x G</w:t>
            </w:r>
          </w:p>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3 x G</w:t>
            </w: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1.3.5</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u w:val="single"/>
                <w:lang w:eastAsia="sv-SE"/>
              </w:rPr>
            </w:pPr>
            <w:r w:rsidRPr="00B62A91">
              <w:rPr>
                <w:rFonts w:ascii="Times New Roman" w:eastAsia="Times New Roman" w:hAnsi="Times New Roman" w:cs="Times New Roman"/>
                <w:b/>
                <w:bCs/>
                <w:sz w:val="24"/>
                <w:szCs w:val="24"/>
                <w:lang w:eastAsia="sv-SE"/>
              </w:rPr>
              <w:t xml:space="preserve">Mindre komplettering till ett gällande tillstånd </w:t>
            </w:r>
            <w:r w:rsidRPr="00B62A91">
              <w:rPr>
                <w:rFonts w:ascii="Times New Roman" w:eastAsia="Times New Roman" w:hAnsi="Times New Roman" w:cs="Times New Roman"/>
                <w:bCs/>
                <w:sz w:val="24"/>
                <w:szCs w:val="24"/>
                <w:lang w:eastAsia="sv-SE"/>
              </w:rPr>
              <w:t>(ej förlängd tillståndstid)</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1,5 x G</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1.3.6</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Samverkan om generellt undantag</w:t>
            </w:r>
          </w:p>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sz w:val="24"/>
                <w:szCs w:val="24"/>
                <w:lang w:eastAsia="sv-SE"/>
              </w:rPr>
            </w:pPr>
            <w:r w:rsidRPr="00B62A91">
              <w:rPr>
                <w:rFonts w:ascii="Times New Roman" w:eastAsia="Times New Roman" w:hAnsi="Times New Roman" w:cs="Times New Roman"/>
                <w:b/>
                <w:bCs/>
                <w:sz w:val="24"/>
                <w:szCs w:val="24"/>
                <w:lang w:eastAsia="sv-SE"/>
              </w:rPr>
              <w:t>att införa eld, gnista eller dylikt i förbudsområdet</w:t>
            </w: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x G</w:t>
            </w: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p>
        </w:tc>
        <w:tc>
          <w:tcPr>
            <w:tcW w:w="4678" w:type="dxa"/>
            <w:tcBorders>
              <w:right w:val="single" w:sz="4" w:space="0" w:color="auto"/>
            </w:tcBorders>
          </w:tcPr>
          <w:p w:rsidR="00B62A91" w:rsidRPr="00B62A91" w:rsidRDefault="00B62A91" w:rsidP="00B62A91">
            <w:pPr>
              <w:rPr>
                <w:rFonts w:ascii="Times New Roman" w:eastAsia="Times New Roman" w:hAnsi="Times New Roman" w:cs="Times New Roman"/>
                <w:sz w:val="24"/>
                <w:szCs w:val="24"/>
                <w:lang w:eastAsia="sv-SE"/>
              </w:rPr>
            </w:pPr>
          </w:p>
        </w:tc>
        <w:tc>
          <w:tcPr>
            <w:tcW w:w="1842"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c>
          <w:tcPr>
            <w:tcW w:w="1843" w:type="dxa"/>
            <w:tcBorders>
              <w:left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p>
        </w:tc>
      </w:tr>
      <w:tr w:rsidR="00B62A91" w:rsidRPr="00B62A91" w:rsidTr="006C2805">
        <w:trPr>
          <w:cantSplit/>
        </w:trPr>
        <w:tc>
          <w:tcPr>
            <w:tcW w:w="921" w:type="dxa"/>
          </w:tcPr>
          <w:p w:rsidR="00B62A91" w:rsidRPr="00B62A91" w:rsidRDefault="00B62A91" w:rsidP="00B62A91">
            <w:pPr>
              <w:tabs>
                <w:tab w:val="left" w:pos="1134"/>
                <w:tab w:val="left" w:pos="2835"/>
                <w:tab w:val="left" w:pos="3969"/>
                <w:tab w:val="left" w:pos="6237"/>
                <w:tab w:val="left" w:pos="7938"/>
              </w:tabs>
              <w:rPr>
                <w:rFonts w:ascii="Times New Roman" w:eastAsia="Times New Roman" w:hAnsi="Times New Roman" w:cs="Times New Roman"/>
                <w:b/>
                <w:bCs/>
                <w:sz w:val="24"/>
                <w:szCs w:val="24"/>
                <w:lang w:eastAsia="sv-SE"/>
              </w:rPr>
            </w:pPr>
            <w:r w:rsidRPr="00B62A91">
              <w:rPr>
                <w:rFonts w:ascii="Times New Roman" w:eastAsia="Times New Roman" w:hAnsi="Times New Roman" w:cs="Times New Roman"/>
                <w:b/>
                <w:bCs/>
                <w:sz w:val="24"/>
                <w:szCs w:val="24"/>
                <w:lang w:eastAsia="sv-SE"/>
              </w:rPr>
              <w:t>1.3.6</w:t>
            </w:r>
          </w:p>
        </w:tc>
        <w:tc>
          <w:tcPr>
            <w:tcW w:w="4678" w:type="dxa"/>
            <w:tcBorders>
              <w:right w:val="single" w:sz="4" w:space="0" w:color="auto"/>
            </w:tcBorders>
          </w:tcPr>
          <w:p w:rsidR="00B62A91" w:rsidRPr="00B62A91" w:rsidRDefault="00B62A91" w:rsidP="00B62A91">
            <w:pPr>
              <w:keepNext/>
              <w:tabs>
                <w:tab w:val="left" w:pos="1134"/>
                <w:tab w:val="left" w:pos="2835"/>
                <w:tab w:val="left" w:pos="3969"/>
                <w:tab w:val="left" w:pos="6237"/>
                <w:tab w:val="left" w:pos="7938"/>
              </w:tabs>
              <w:outlineLvl w:val="0"/>
              <w:rPr>
                <w:rFonts w:ascii="Times New Roman" w:eastAsia="Times New Roman" w:hAnsi="Times New Roman" w:cs="Times New Roman"/>
                <w:bCs/>
                <w:sz w:val="24"/>
                <w:szCs w:val="24"/>
                <w:u w:val="single"/>
                <w:lang w:eastAsia="sv-SE"/>
              </w:rPr>
            </w:pPr>
            <w:r w:rsidRPr="00B62A91">
              <w:rPr>
                <w:rFonts w:ascii="Times New Roman" w:eastAsia="Times New Roman" w:hAnsi="Times New Roman" w:cs="Times New Roman"/>
                <w:b/>
                <w:bCs/>
                <w:sz w:val="24"/>
                <w:szCs w:val="24"/>
                <w:lang w:eastAsia="sv-SE"/>
              </w:rPr>
              <w:t>Avslag</w:t>
            </w:r>
          </w:p>
        </w:tc>
        <w:tc>
          <w:tcPr>
            <w:tcW w:w="1842" w:type="dxa"/>
            <w:tcBorders>
              <w:left w:val="single" w:sz="4" w:space="0" w:color="auto"/>
              <w:bottom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x G</w:t>
            </w:r>
          </w:p>
        </w:tc>
        <w:tc>
          <w:tcPr>
            <w:tcW w:w="1843" w:type="dxa"/>
            <w:tcBorders>
              <w:left w:val="single" w:sz="4" w:space="0" w:color="auto"/>
              <w:bottom w:val="single" w:sz="4" w:space="0" w:color="auto"/>
              <w:right w:val="single" w:sz="4" w:space="0" w:color="auto"/>
            </w:tcBorders>
            <w:shd w:val="clear" w:color="auto" w:fill="DBE5F1"/>
          </w:tcPr>
          <w:p w:rsidR="00B62A91" w:rsidRPr="00B62A91" w:rsidRDefault="00B62A91" w:rsidP="00B62A91">
            <w:pPr>
              <w:keepNext/>
              <w:tabs>
                <w:tab w:val="left" w:pos="1134"/>
                <w:tab w:val="left" w:pos="2835"/>
                <w:tab w:val="left" w:pos="3969"/>
                <w:tab w:val="left" w:pos="6237"/>
                <w:tab w:val="left" w:pos="7938"/>
              </w:tabs>
              <w:jc w:val="center"/>
              <w:outlineLvl w:val="0"/>
              <w:rPr>
                <w:rFonts w:ascii="Times New Roman" w:eastAsia="Times New Roman" w:hAnsi="Times New Roman" w:cs="Times New Roman"/>
                <w:bCs/>
                <w:sz w:val="24"/>
                <w:szCs w:val="24"/>
                <w:lang w:eastAsia="sv-SE"/>
              </w:rPr>
            </w:pPr>
            <w:r w:rsidRPr="00B62A91">
              <w:rPr>
                <w:rFonts w:ascii="Times New Roman" w:eastAsia="Times New Roman" w:hAnsi="Times New Roman" w:cs="Times New Roman"/>
                <w:bCs/>
                <w:sz w:val="24"/>
                <w:szCs w:val="24"/>
                <w:lang w:eastAsia="sv-SE"/>
              </w:rPr>
              <w:t>1 x G</w:t>
            </w:r>
          </w:p>
          <w:p w:rsidR="00B62A91" w:rsidRPr="00B62A91" w:rsidRDefault="00B62A91" w:rsidP="00B62A91">
            <w:pPr>
              <w:rPr>
                <w:rFonts w:ascii="Times New Roman" w:eastAsia="Times New Roman" w:hAnsi="Times New Roman" w:cs="Times New Roman"/>
                <w:szCs w:val="20"/>
                <w:lang w:eastAsia="sv-SE"/>
              </w:rPr>
            </w:pPr>
          </w:p>
        </w:tc>
      </w:tr>
    </w:tbl>
    <w:p w:rsidR="00B62A91" w:rsidRPr="00B62A91" w:rsidRDefault="00B62A91" w:rsidP="00B62A91">
      <w:pPr>
        <w:rPr>
          <w:rFonts w:ascii="Times New Roman" w:eastAsia="Times New Roman" w:hAnsi="Times New Roman" w:cs="Times New Roman"/>
          <w:b/>
          <w:sz w:val="24"/>
          <w:szCs w:val="24"/>
          <w:lang w:eastAsia="sv-SE"/>
        </w:rPr>
      </w:pPr>
    </w:p>
    <w:p w:rsidR="009E19EB" w:rsidRDefault="009E19EB" w:rsidP="00B62A91">
      <w:pPr>
        <w:rPr>
          <w:rFonts w:ascii="Times New Roman" w:eastAsia="Times New Roman" w:hAnsi="Times New Roman" w:cs="Times New Roman"/>
          <w:sz w:val="24"/>
          <w:szCs w:val="24"/>
          <w:u w:val="single"/>
          <w:lang w:eastAsia="sv-SE"/>
        </w:rPr>
      </w:pPr>
    </w:p>
    <w:p w:rsidR="009E19EB" w:rsidRDefault="009E19EB" w:rsidP="00B62A91">
      <w:pPr>
        <w:rPr>
          <w:rFonts w:ascii="Times New Roman" w:eastAsia="Times New Roman" w:hAnsi="Times New Roman" w:cs="Times New Roman"/>
          <w:sz w:val="24"/>
          <w:szCs w:val="24"/>
          <w:u w:val="single"/>
          <w:lang w:eastAsia="sv-SE"/>
        </w:rPr>
      </w:pPr>
    </w:p>
    <w:p w:rsidR="00B62A91" w:rsidRPr="00B62A91" w:rsidRDefault="00B62A91" w:rsidP="00B62A91">
      <w:pPr>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u w:val="single"/>
          <w:lang w:eastAsia="sv-SE"/>
        </w:rPr>
        <w:t>Kommentarer till tillståndshanteringen för brandfarlig vara</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 xml:space="preserve">Handläggningstiden ökas med 1 grundbelopp om ärendet behöver beslutas av nämnden, till exempel ärenden av sådant slag som ej får omfattas av delegerad beslutanderätt enligt 6 kap 34 § i kommunallagen eller om nämnden behöver informeras om ärendet genom presentation vid sammanträde. För komplicerade ärenden eller för ärenden som inte kan kategoriseras in enligt tabellen ovan eller för särskilt tidskrävande ärenden, ska individuell tidsberäkning tillämpas. Särskilt tidskrävande ärenden är till exempel ärenden som krävt flera besök på plats, förhandsbesked eller då begäran om kompletterande handlingar gjorts på grund av bristfälliga ansökningshandlingar och andra åtgärder som inte redovisas i tabellen </w:t>
      </w:r>
      <w:proofErr w:type="spellStart"/>
      <w:r w:rsidRPr="00B62A91">
        <w:rPr>
          <w:rFonts w:ascii="Times New Roman" w:eastAsia="Times New Roman" w:hAnsi="Times New Roman" w:cs="Times New Roman"/>
          <w:sz w:val="24"/>
          <w:szCs w:val="24"/>
          <w:lang w:eastAsia="sv-SE"/>
        </w:rPr>
        <w:t>tidsdebiteras</w:t>
      </w:r>
      <w:proofErr w:type="spellEnd"/>
      <w:r w:rsidRPr="00B62A91">
        <w:rPr>
          <w:rFonts w:ascii="Times New Roman" w:eastAsia="Times New Roman" w:hAnsi="Times New Roman" w:cs="Times New Roman"/>
          <w:sz w:val="24"/>
          <w:szCs w:val="24"/>
          <w:lang w:eastAsia="sv-SE"/>
        </w:rPr>
        <w:t xml:space="preserve"> efter faktiskt kostnad.</w:t>
      </w:r>
    </w:p>
    <w:p w:rsidR="00B62A91" w:rsidRPr="00B62A91" w:rsidRDefault="00B62A91" w:rsidP="00B62A91">
      <w:pPr>
        <w:rPr>
          <w:rFonts w:ascii="Times New Roman" w:eastAsia="Times New Roman" w:hAnsi="Times New Roman" w:cs="Times New Roman"/>
          <w:sz w:val="24"/>
          <w:szCs w:val="24"/>
          <w:u w:val="single"/>
          <w:lang w:eastAsia="sv-SE"/>
        </w:rPr>
      </w:pPr>
    </w:p>
    <w:p w:rsidR="00B62A91" w:rsidRPr="00B62A91" w:rsidRDefault="00B62A91" w:rsidP="00B62A91">
      <w:pPr>
        <w:rPr>
          <w:rFonts w:ascii="Times New Roman" w:eastAsia="Times New Roman" w:hAnsi="Times New Roman" w:cs="Times New Roman"/>
          <w:sz w:val="24"/>
          <w:szCs w:val="24"/>
          <w:u w:val="single"/>
          <w:lang w:eastAsia="sv-SE"/>
        </w:rPr>
      </w:pPr>
      <w:r w:rsidRPr="00B62A91">
        <w:rPr>
          <w:rFonts w:ascii="Times New Roman" w:eastAsia="Times New Roman" w:hAnsi="Times New Roman" w:cs="Times New Roman"/>
          <w:sz w:val="24"/>
          <w:szCs w:val="24"/>
          <w:u w:val="single"/>
          <w:lang w:eastAsia="sv-SE"/>
        </w:rPr>
        <w:t>Indexuppräkning</w:t>
      </w:r>
    </w:p>
    <w:p w:rsidR="00B62A91" w:rsidRPr="00B62A91" w:rsidRDefault="00B62A91" w:rsidP="00B62A91">
      <w:pPr>
        <w:rPr>
          <w:rFonts w:ascii="Times New Roman" w:eastAsia="Times New Roman" w:hAnsi="Times New Roman" w:cs="Times New Roman"/>
          <w:sz w:val="24"/>
          <w:szCs w:val="24"/>
          <w:lang w:eastAsia="sv-SE"/>
        </w:rPr>
      </w:pPr>
      <w:r w:rsidRPr="00B62A91">
        <w:rPr>
          <w:rFonts w:ascii="Times New Roman" w:eastAsia="Times New Roman" w:hAnsi="Times New Roman" w:cs="Times New Roman"/>
          <w:sz w:val="24"/>
          <w:szCs w:val="24"/>
          <w:lang w:eastAsia="sv-SE"/>
        </w:rPr>
        <w:t>Vatten- och räddningsnämnden får för varje kalenderår (</w:t>
      </w:r>
      <w:proofErr w:type="spellStart"/>
      <w:r w:rsidRPr="00B62A91">
        <w:rPr>
          <w:rFonts w:ascii="Times New Roman" w:eastAsia="Times New Roman" w:hAnsi="Times New Roman" w:cs="Times New Roman"/>
          <w:sz w:val="24"/>
          <w:szCs w:val="24"/>
          <w:lang w:eastAsia="sv-SE"/>
        </w:rPr>
        <w:t>avgiftsår</w:t>
      </w:r>
      <w:proofErr w:type="spellEnd"/>
      <w:r w:rsidRPr="00B62A91">
        <w:rPr>
          <w:rFonts w:ascii="Times New Roman" w:eastAsia="Times New Roman" w:hAnsi="Times New Roman" w:cs="Times New Roman"/>
          <w:sz w:val="24"/>
          <w:szCs w:val="24"/>
          <w:lang w:eastAsia="sv-SE"/>
        </w:rPr>
        <w:t>) besluta att höja de i denna taxa antagna fasta avgifterna och timavgifterna med den procentsats för det innevarande kalenderåret i Prisindex för kommunal verksamhet (PKV) som finns publicerad på SKR:s hemsida i oktober månad. Utgångspunkt för indexuppräkningen är oktober månad 2020 (kommunfullmäktiges beslutsår).</w:t>
      </w:r>
    </w:p>
    <w:p w:rsidR="00B62A91" w:rsidRPr="00B62A91" w:rsidRDefault="00B62A91" w:rsidP="00B62A91">
      <w:pPr>
        <w:rPr>
          <w:rFonts w:ascii="Times New Roman" w:eastAsia="Times New Roman" w:hAnsi="Times New Roman" w:cs="Times New Roman"/>
          <w:sz w:val="24"/>
          <w:szCs w:val="24"/>
          <w:lang w:eastAsia="sv-SE"/>
        </w:rPr>
      </w:pPr>
    </w:p>
    <w:p w:rsidR="00A76EE9" w:rsidRDefault="00A76EE9" w:rsidP="00A76EE9">
      <w:pPr>
        <w:keepNext/>
      </w:pPr>
    </w:p>
    <w:sectPr w:rsidR="00A76EE9" w:rsidSect="00043706">
      <w:footerReference w:type="default" r:id="rId10"/>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80A" w:rsidRDefault="00EB280A" w:rsidP="007E05C1">
      <w:r>
        <w:separator/>
      </w:r>
    </w:p>
  </w:endnote>
  <w:endnote w:type="continuationSeparator" w:id="0">
    <w:p w:rsidR="00EB280A" w:rsidRDefault="00EB280A"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ear Sans">
    <w:altName w:val="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notTrueType/>
    <w:pitch w:val="variable"/>
    <w:sig w:usb0="00000003" w:usb1="00000000" w:usb2="00000000" w:usb3="00000000" w:csb0="00000001" w:csb1="00000000"/>
  </w:font>
  <w:font w:name="Yanone Kaffeesatz Bold">
    <w:panose1 w:val="02000000000000000000"/>
    <w:charset w:val="00"/>
    <w:family w:val="modern"/>
    <w:notTrueType/>
    <w:pitch w:val="variable"/>
    <w:sig w:usb0="800000AF" w:usb1="4000204B"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390" w:rsidRDefault="00803390">
    <w:pPr>
      <w:pStyle w:val="Sidfot"/>
    </w:pPr>
    <w:r>
      <w:rPr>
        <w:noProof/>
        <w:lang w:eastAsia="sv-SE"/>
      </w:rPr>
      <w:drawing>
        <wp:anchor distT="0" distB="0" distL="114300" distR="114300" simplePos="0" relativeHeight="251659264" behindDoc="1" locked="0" layoutInCell="1" allowOverlap="1" wp14:anchorId="16DBC879" wp14:editId="08A684B4">
          <wp:simplePos x="0" y="0"/>
          <wp:positionH relativeFrom="column">
            <wp:posOffset>-1076499</wp:posOffset>
          </wp:positionH>
          <wp:positionV relativeFrom="paragraph">
            <wp:posOffset>-2072640</wp:posOffset>
          </wp:positionV>
          <wp:extent cx="7560000" cy="2401200"/>
          <wp:effectExtent l="0" t="0" r="3175" b="0"/>
          <wp:wrapNone/>
          <wp:docPr id="12" name="Bildobjekt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401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390" w:rsidRDefault="00803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80A" w:rsidRDefault="00EB280A" w:rsidP="007E05C1">
      <w:r>
        <w:separator/>
      </w:r>
    </w:p>
  </w:footnote>
  <w:footnote w:type="continuationSeparator" w:id="0">
    <w:p w:rsidR="00EB280A" w:rsidRDefault="00EB280A"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7"/>
      <w:gridCol w:w="2198"/>
      <w:gridCol w:w="2126"/>
      <w:gridCol w:w="1417"/>
      <w:gridCol w:w="993"/>
      <w:gridCol w:w="368"/>
    </w:tblGrid>
    <w:tr w:rsidR="00A331FC" w:rsidTr="00E951A6">
      <w:tc>
        <w:tcPr>
          <w:tcW w:w="2197" w:type="dxa"/>
          <w:vMerge w:val="restart"/>
        </w:tcPr>
        <w:p w:rsidR="00A331FC" w:rsidRDefault="00A331FC" w:rsidP="001D0CA6">
          <w:pPr>
            <w:pStyle w:val="Sidhuvud"/>
            <w:spacing w:before="60"/>
          </w:pPr>
          <w:r>
            <w:rPr>
              <w:noProof/>
              <w:lang w:eastAsia="sv-SE"/>
            </w:rPr>
            <w:drawing>
              <wp:inline distT="0" distB="0" distL="0" distR="0" wp14:anchorId="694E5F91" wp14:editId="7EB5401F">
                <wp:extent cx="1225296" cy="502920"/>
                <wp:effectExtent l="0" t="0" r="0" b="0"/>
                <wp:docPr id="11" name="Bildobjekt 1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296" cy="502920"/>
                        </a:xfrm>
                        <a:prstGeom prst="rect">
                          <a:avLst/>
                        </a:prstGeom>
                      </pic:spPr>
                    </pic:pic>
                  </a:graphicData>
                </a:graphic>
              </wp:inline>
            </w:drawing>
          </w:r>
        </w:p>
      </w:tc>
      <w:tc>
        <w:tcPr>
          <w:tcW w:w="2198" w:type="dxa"/>
          <w:vMerge w:val="restart"/>
        </w:tcPr>
        <w:p w:rsidR="00A331FC" w:rsidRDefault="00A331FC" w:rsidP="001D0CA6">
          <w:pPr>
            <w:pStyle w:val="Sidhuvud"/>
            <w:spacing w:before="60"/>
          </w:pPr>
        </w:p>
      </w:tc>
      <w:tc>
        <w:tcPr>
          <w:tcW w:w="4904" w:type="dxa"/>
          <w:gridSpan w:val="4"/>
        </w:tcPr>
        <w:p w:rsidR="00A331FC" w:rsidRPr="00EB6561" w:rsidRDefault="00A331FC" w:rsidP="00093304">
          <w:pPr>
            <w:pStyle w:val="Sidhuvud"/>
            <w:rPr>
              <w:sz w:val="12"/>
              <w:szCs w:val="12"/>
            </w:rPr>
          </w:pPr>
        </w:p>
      </w:tc>
    </w:tr>
    <w:tr w:rsidR="00A331FC" w:rsidTr="00E951A6">
      <w:tc>
        <w:tcPr>
          <w:tcW w:w="2197" w:type="dxa"/>
          <w:vMerge/>
        </w:tcPr>
        <w:p w:rsidR="00A331FC" w:rsidRDefault="00A331FC">
          <w:pPr>
            <w:pStyle w:val="Sidhuvud"/>
          </w:pPr>
        </w:p>
      </w:tc>
      <w:tc>
        <w:tcPr>
          <w:tcW w:w="2198" w:type="dxa"/>
          <w:vMerge/>
        </w:tcPr>
        <w:p w:rsidR="00A331FC" w:rsidRDefault="00A331FC">
          <w:pPr>
            <w:pStyle w:val="Sidhuvud"/>
          </w:pPr>
        </w:p>
      </w:tc>
      <w:tc>
        <w:tcPr>
          <w:tcW w:w="3543" w:type="dxa"/>
          <w:gridSpan w:val="2"/>
        </w:tcPr>
        <w:p w:rsidR="00A331FC" w:rsidRPr="00B62A91" w:rsidRDefault="00A331FC" w:rsidP="00093304">
          <w:pPr>
            <w:pStyle w:val="Sidhuvud"/>
            <w:rPr>
              <w:sz w:val="18"/>
              <w:szCs w:val="18"/>
            </w:rPr>
          </w:pPr>
          <w:r>
            <w:rPr>
              <w:b/>
              <w:sz w:val="18"/>
              <w:szCs w:val="18"/>
            </w:rPr>
            <w:t>Datum och paragraf</w:t>
          </w:r>
          <w:r w:rsidRPr="00D62BF5">
            <w:rPr>
              <w:b/>
              <w:sz w:val="18"/>
              <w:szCs w:val="18"/>
            </w:rPr>
            <w:t>:</w:t>
          </w:r>
          <w:r>
            <w:rPr>
              <w:sz w:val="18"/>
              <w:szCs w:val="18"/>
            </w:rPr>
            <w:t xml:space="preserve"> </w:t>
          </w:r>
          <w:r w:rsidR="00AB74DE">
            <w:rPr>
              <w:sz w:val="18"/>
              <w:szCs w:val="18"/>
            </w:rPr>
            <w:t xml:space="preserve">KF 2020-08-26 § 78, indexuppräknad VR </w:t>
          </w:r>
          <w:r>
            <w:rPr>
              <w:sz w:val="18"/>
              <w:szCs w:val="18"/>
            </w:rPr>
            <w:t>202</w:t>
          </w:r>
          <w:r w:rsidR="00B62A91">
            <w:rPr>
              <w:sz w:val="18"/>
              <w:szCs w:val="18"/>
            </w:rPr>
            <w:t>3</w:t>
          </w:r>
          <w:r>
            <w:rPr>
              <w:sz w:val="18"/>
              <w:szCs w:val="18"/>
            </w:rPr>
            <w:t>-</w:t>
          </w:r>
          <w:r w:rsidR="00B62A91">
            <w:rPr>
              <w:sz w:val="18"/>
              <w:szCs w:val="18"/>
            </w:rPr>
            <w:t>02-0</w:t>
          </w:r>
          <w:r w:rsidR="00B62A91" w:rsidRPr="00AB74DE">
            <w:rPr>
              <w:sz w:val="18"/>
              <w:szCs w:val="18"/>
            </w:rPr>
            <w:t>3</w:t>
          </w:r>
          <w:r w:rsidRPr="00AB74DE">
            <w:rPr>
              <w:sz w:val="18"/>
              <w:szCs w:val="18"/>
            </w:rPr>
            <w:t xml:space="preserve"> §</w:t>
          </w:r>
          <w:r w:rsidR="00B62A91" w:rsidRPr="00AB74DE">
            <w:rPr>
              <w:sz w:val="18"/>
              <w:szCs w:val="18"/>
            </w:rPr>
            <w:t xml:space="preserve"> </w:t>
          </w:r>
          <w:r w:rsidR="00AB74DE" w:rsidRPr="00AB74DE">
            <w:rPr>
              <w:sz w:val="18"/>
              <w:szCs w:val="18"/>
            </w:rPr>
            <w:t>9</w:t>
          </w:r>
        </w:p>
        <w:p w:rsidR="00A331FC" w:rsidRPr="00154194" w:rsidRDefault="00A331FC" w:rsidP="00093304">
          <w:pPr>
            <w:pStyle w:val="Sidhuvud"/>
            <w:rPr>
              <w:sz w:val="18"/>
              <w:szCs w:val="18"/>
            </w:rPr>
          </w:pPr>
          <w:r>
            <w:rPr>
              <w:b/>
              <w:sz w:val="18"/>
              <w:szCs w:val="18"/>
            </w:rPr>
            <w:t xml:space="preserve">Beslutande organ: </w:t>
          </w:r>
          <w:r w:rsidR="00B62A91" w:rsidRPr="00B246B9">
            <w:rPr>
              <w:sz w:val="18"/>
              <w:szCs w:val="18"/>
            </w:rPr>
            <w:t>Kommunfullmäktige</w:t>
          </w:r>
          <w:r w:rsidR="00B62A91">
            <w:rPr>
              <w:b/>
              <w:sz w:val="18"/>
              <w:szCs w:val="18"/>
            </w:rPr>
            <w:t xml:space="preserve">, </w:t>
          </w:r>
          <w:r w:rsidR="00B62A91" w:rsidRPr="00B62A91">
            <w:rPr>
              <w:sz w:val="18"/>
              <w:szCs w:val="18"/>
            </w:rPr>
            <w:t>nu indexuppräkning av VA och Räddningstjänstnämnden</w:t>
          </w:r>
          <w:r>
            <w:rPr>
              <w:sz w:val="18"/>
              <w:szCs w:val="18"/>
            </w:rPr>
            <w:br/>
          </w:r>
          <w:r w:rsidRPr="00991FA8">
            <w:rPr>
              <w:b/>
              <w:sz w:val="18"/>
              <w:szCs w:val="18"/>
            </w:rPr>
            <w:t>Nästa revidering:</w:t>
          </w:r>
          <w:r>
            <w:rPr>
              <w:sz w:val="18"/>
              <w:szCs w:val="18"/>
            </w:rPr>
            <w:t xml:space="preserve"> </w:t>
          </w:r>
          <w:r w:rsidR="00B62A91">
            <w:rPr>
              <w:sz w:val="18"/>
              <w:szCs w:val="18"/>
            </w:rPr>
            <w:t>2026</w:t>
          </w:r>
          <w:r w:rsidR="004A5860">
            <w:rPr>
              <w:sz w:val="18"/>
              <w:szCs w:val="18"/>
            </w:rPr>
            <w:t xml:space="preserve"> samt </w:t>
          </w:r>
          <w:r w:rsidR="00B62A91">
            <w:rPr>
              <w:sz w:val="18"/>
              <w:szCs w:val="18"/>
            </w:rPr>
            <w:t>årlig indexuppräkning</w:t>
          </w:r>
          <w:r>
            <w:rPr>
              <w:sz w:val="18"/>
              <w:szCs w:val="18"/>
            </w:rPr>
            <w:br/>
          </w:r>
          <w:r w:rsidRPr="00991FA8">
            <w:rPr>
              <w:b/>
              <w:sz w:val="18"/>
              <w:szCs w:val="18"/>
            </w:rPr>
            <w:t>Diarienummer:</w:t>
          </w:r>
          <w:r w:rsidR="00B62A91">
            <w:rPr>
              <w:b/>
              <w:sz w:val="18"/>
              <w:szCs w:val="18"/>
            </w:rPr>
            <w:t xml:space="preserve"> </w:t>
          </w:r>
          <w:r w:rsidR="00B62A91" w:rsidRPr="00B62A91">
            <w:rPr>
              <w:sz w:val="18"/>
              <w:szCs w:val="18"/>
            </w:rPr>
            <w:t>VR 2022/295</w:t>
          </w:r>
          <w:r w:rsidR="004439CD">
            <w:rPr>
              <w:sz w:val="18"/>
              <w:szCs w:val="18"/>
            </w:rPr>
            <w:t xml:space="preserve">, </w:t>
          </w:r>
          <w:r w:rsidR="004439CD" w:rsidRPr="004439CD">
            <w:rPr>
              <w:sz w:val="18"/>
              <w:szCs w:val="18"/>
            </w:rPr>
            <w:t>KSF 2020/497</w:t>
          </w:r>
        </w:p>
        <w:p w:rsidR="00154194" w:rsidRPr="00154194" w:rsidRDefault="00154194" w:rsidP="00093304">
          <w:pPr>
            <w:pStyle w:val="Sidhuvud"/>
            <w:rPr>
              <w:sz w:val="18"/>
              <w:szCs w:val="18"/>
            </w:rPr>
          </w:pPr>
          <w:r>
            <w:rPr>
              <w:b/>
              <w:sz w:val="18"/>
              <w:szCs w:val="18"/>
            </w:rPr>
            <w:t>Gäller från och med:</w:t>
          </w:r>
          <w:r w:rsidR="00B62A91">
            <w:rPr>
              <w:b/>
              <w:sz w:val="18"/>
              <w:szCs w:val="18"/>
            </w:rPr>
            <w:t xml:space="preserve"> </w:t>
          </w:r>
          <w:r w:rsidR="00B62A91" w:rsidRPr="00B62A91">
            <w:rPr>
              <w:sz w:val="18"/>
              <w:szCs w:val="18"/>
            </w:rPr>
            <w:t>2023-03-01</w:t>
          </w:r>
        </w:p>
      </w:tc>
      <w:tc>
        <w:tcPr>
          <w:tcW w:w="993" w:type="dxa"/>
        </w:tcPr>
        <w:p w:rsidR="00A331FC" w:rsidRDefault="00A331FC">
          <w:pPr>
            <w:pStyle w:val="Sidhuvud"/>
          </w:pPr>
        </w:p>
      </w:tc>
      <w:tc>
        <w:tcPr>
          <w:tcW w:w="368" w:type="dxa"/>
        </w:tcPr>
        <w:p w:rsidR="00A331FC" w:rsidRDefault="00A331FC" w:rsidP="000E38B4">
          <w:pPr>
            <w:pStyle w:val="Sidhuvud"/>
          </w:pPr>
        </w:p>
      </w:tc>
    </w:tr>
    <w:tr w:rsidR="00A331FC" w:rsidRPr="00EB6561" w:rsidTr="00E951A6">
      <w:tc>
        <w:tcPr>
          <w:tcW w:w="2197" w:type="dxa"/>
          <w:vMerge/>
        </w:tcPr>
        <w:p w:rsidR="00A331FC" w:rsidRPr="00EB6561" w:rsidRDefault="00A331FC">
          <w:pPr>
            <w:pStyle w:val="Sidhuvud"/>
            <w:rPr>
              <w:sz w:val="12"/>
              <w:szCs w:val="12"/>
            </w:rPr>
          </w:pPr>
        </w:p>
      </w:tc>
      <w:tc>
        <w:tcPr>
          <w:tcW w:w="2198" w:type="dxa"/>
          <w:vMerge/>
        </w:tcPr>
        <w:p w:rsidR="00A331FC" w:rsidRPr="00EB6561" w:rsidRDefault="00A331FC">
          <w:pPr>
            <w:pStyle w:val="Sidhuvud"/>
            <w:rPr>
              <w:sz w:val="12"/>
              <w:szCs w:val="12"/>
            </w:rPr>
          </w:pPr>
        </w:p>
      </w:tc>
      <w:tc>
        <w:tcPr>
          <w:tcW w:w="2126" w:type="dxa"/>
        </w:tcPr>
        <w:p w:rsidR="00A331FC" w:rsidRPr="00EB6561" w:rsidRDefault="00A331FC">
          <w:pPr>
            <w:pStyle w:val="Sidhuvud"/>
            <w:rPr>
              <w:sz w:val="12"/>
              <w:szCs w:val="12"/>
            </w:rPr>
          </w:pPr>
        </w:p>
      </w:tc>
      <w:tc>
        <w:tcPr>
          <w:tcW w:w="2410" w:type="dxa"/>
          <w:gridSpan w:val="2"/>
        </w:tcPr>
        <w:p w:rsidR="00A331FC" w:rsidRPr="00EB6561" w:rsidRDefault="00A331FC">
          <w:pPr>
            <w:pStyle w:val="Sidhuvud"/>
            <w:rPr>
              <w:sz w:val="12"/>
              <w:szCs w:val="12"/>
            </w:rPr>
          </w:pPr>
        </w:p>
      </w:tc>
      <w:tc>
        <w:tcPr>
          <w:tcW w:w="368" w:type="dxa"/>
        </w:tcPr>
        <w:p w:rsidR="00A331FC" w:rsidRPr="00EB6561" w:rsidRDefault="00A331FC" w:rsidP="000E38B4">
          <w:pPr>
            <w:pStyle w:val="Sidhuvud"/>
            <w:rPr>
              <w:sz w:val="12"/>
              <w:szCs w:val="12"/>
            </w:rPr>
          </w:pPr>
        </w:p>
      </w:tc>
    </w:tr>
    <w:tr w:rsidR="00A331FC" w:rsidTr="00E951A6">
      <w:tc>
        <w:tcPr>
          <w:tcW w:w="2197" w:type="dxa"/>
          <w:vMerge/>
        </w:tcPr>
        <w:p w:rsidR="00A331FC" w:rsidRDefault="00A331FC">
          <w:pPr>
            <w:pStyle w:val="Sidhuvud"/>
          </w:pPr>
        </w:p>
      </w:tc>
      <w:tc>
        <w:tcPr>
          <w:tcW w:w="2198" w:type="dxa"/>
          <w:vMerge/>
        </w:tcPr>
        <w:p w:rsidR="00A331FC" w:rsidRDefault="00A331FC">
          <w:pPr>
            <w:pStyle w:val="Sidhuvud"/>
          </w:pPr>
        </w:p>
      </w:tc>
      <w:tc>
        <w:tcPr>
          <w:tcW w:w="2126" w:type="dxa"/>
        </w:tcPr>
        <w:p w:rsidR="00A331FC" w:rsidRPr="000E38B4" w:rsidRDefault="00A331FC">
          <w:pPr>
            <w:pStyle w:val="Sidhuvud"/>
            <w:rPr>
              <w:sz w:val="18"/>
              <w:szCs w:val="18"/>
            </w:rPr>
          </w:pPr>
        </w:p>
      </w:tc>
      <w:tc>
        <w:tcPr>
          <w:tcW w:w="2410" w:type="dxa"/>
          <w:gridSpan w:val="2"/>
        </w:tcPr>
        <w:p w:rsidR="00A331FC" w:rsidRPr="000E38B4" w:rsidRDefault="00A331FC">
          <w:pPr>
            <w:pStyle w:val="Sidhuvud"/>
            <w:rPr>
              <w:sz w:val="18"/>
              <w:szCs w:val="18"/>
            </w:rPr>
          </w:pPr>
        </w:p>
      </w:tc>
      <w:tc>
        <w:tcPr>
          <w:tcW w:w="368" w:type="dxa"/>
        </w:tcPr>
        <w:p w:rsidR="00A331FC" w:rsidRPr="009C66EF" w:rsidRDefault="00A331FC" w:rsidP="000E38B4">
          <w:pPr>
            <w:pStyle w:val="Sidhuvud"/>
            <w:rPr>
              <w:rStyle w:val="Sidnummer"/>
            </w:rPr>
          </w:pPr>
        </w:p>
      </w:tc>
    </w:tr>
    <w:tr w:rsidR="00AB181E" w:rsidRPr="003216FD" w:rsidTr="00D24B36">
      <w:tc>
        <w:tcPr>
          <w:tcW w:w="4395" w:type="dxa"/>
          <w:gridSpan w:val="2"/>
        </w:tcPr>
        <w:p w:rsidR="00AB181E" w:rsidRPr="002B3461" w:rsidRDefault="00AB181E">
          <w:pPr>
            <w:pStyle w:val="Sidhuvud"/>
            <w:rPr>
              <w:sz w:val="12"/>
              <w:szCs w:val="12"/>
            </w:rPr>
          </w:pPr>
        </w:p>
      </w:tc>
      <w:tc>
        <w:tcPr>
          <w:tcW w:w="2126" w:type="dxa"/>
        </w:tcPr>
        <w:p w:rsidR="00AB181E" w:rsidRPr="002B3461" w:rsidRDefault="00AB181E">
          <w:pPr>
            <w:pStyle w:val="Sidhuvud"/>
            <w:rPr>
              <w:sz w:val="12"/>
              <w:szCs w:val="12"/>
            </w:rPr>
          </w:pPr>
        </w:p>
      </w:tc>
      <w:tc>
        <w:tcPr>
          <w:tcW w:w="2410" w:type="dxa"/>
          <w:gridSpan w:val="2"/>
        </w:tcPr>
        <w:p w:rsidR="00AB181E" w:rsidRPr="002B3461" w:rsidRDefault="00AB181E">
          <w:pPr>
            <w:pStyle w:val="Sidhuvud"/>
            <w:rPr>
              <w:sz w:val="12"/>
              <w:szCs w:val="12"/>
            </w:rPr>
          </w:pPr>
        </w:p>
      </w:tc>
      <w:tc>
        <w:tcPr>
          <w:tcW w:w="368" w:type="dxa"/>
        </w:tcPr>
        <w:p w:rsidR="00AB181E" w:rsidRPr="002B3461" w:rsidRDefault="00AB181E" w:rsidP="000E38B4">
          <w:pPr>
            <w:pStyle w:val="Sidhuvud"/>
            <w:rPr>
              <w:sz w:val="12"/>
              <w:szCs w:val="12"/>
            </w:rPr>
          </w:pPr>
        </w:p>
      </w:tc>
    </w:tr>
    <w:tr w:rsidR="00AB181E" w:rsidRPr="003216FD" w:rsidTr="00D24B36">
      <w:tc>
        <w:tcPr>
          <w:tcW w:w="4395" w:type="dxa"/>
          <w:gridSpan w:val="2"/>
        </w:tcPr>
        <w:p w:rsidR="00AB181E" w:rsidRPr="00EE18C5" w:rsidRDefault="00AB181E">
          <w:pPr>
            <w:pStyle w:val="Sidhuvud"/>
            <w:rPr>
              <w:rStyle w:val="Sektor"/>
              <w:caps/>
            </w:rPr>
          </w:pPr>
        </w:p>
      </w:tc>
      <w:tc>
        <w:tcPr>
          <w:tcW w:w="2126" w:type="dxa"/>
        </w:tcPr>
        <w:p w:rsidR="00AB181E" w:rsidRDefault="00AB181E">
          <w:pPr>
            <w:pStyle w:val="Sidhuvud"/>
          </w:pPr>
        </w:p>
      </w:tc>
      <w:tc>
        <w:tcPr>
          <w:tcW w:w="2410" w:type="dxa"/>
          <w:gridSpan w:val="2"/>
        </w:tcPr>
        <w:p w:rsidR="00AB181E" w:rsidRDefault="00AB181E">
          <w:pPr>
            <w:pStyle w:val="Sidhuvud"/>
          </w:pPr>
        </w:p>
      </w:tc>
      <w:tc>
        <w:tcPr>
          <w:tcW w:w="368" w:type="dxa"/>
        </w:tcPr>
        <w:p w:rsidR="00AB181E" w:rsidRDefault="00AB181E" w:rsidP="000E38B4">
          <w:pPr>
            <w:pStyle w:val="Sidhuvud"/>
          </w:pPr>
        </w:p>
      </w:tc>
    </w:tr>
    <w:tr w:rsidR="00AB181E" w:rsidTr="00D24B36">
      <w:tc>
        <w:tcPr>
          <w:tcW w:w="4395" w:type="dxa"/>
          <w:gridSpan w:val="2"/>
        </w:tcPr>
        <w:p w:rsidR="00AB181E" w:rsidRPr="00E76562" w:rsidRDefault="00AB181E">
          <w:pPr>
            <w:pStyle w:val="Sidhuvud"/>
            <w:rPr>
              <w:rStyle w:val="Avdelning"/>
            </w:rPr>
          </w:pPr>
        </w:p>
      </w:tc>
      <w:tc>
        <w:tcPr>
          <w:tcW w:w="2126" w:type="dxa"/>
        </w:tcPr>
        <w:p w:rsidR="00AB181E" w:rsidRDefault="00AB181E">
          <w:pPr>
            <w:pStyle w:val="Sidhuvud"/>
          </w:pPr>
        </w:p>
      </w:tc>
      <w:tc>
        <w:tcPr>
          <w:tcW w:w="2410" w:type="dxa"/>
          <w:gridSpan w:val="2"/>
        </w:tcPr>
        <w:p w:rsidR="00AB181E" w:rsidRDefault="00AB181E">
          <w:pPr>
            <w:pStyle w:val="Sidhuvud"/>
          </w:pPr>
        </w:p>
      </w:tc>
      <w:tc>
        <w:tcPr>
          <w:tcW w:w="368" w:type="dxa"/>
        </w:tcPr>
        <w:p w:rsidR="00AB181E" w:rsidRDefault="00AB181E" w:rsidP="000E38B4">
          <w:pPr>
            <w:pStyle w:val="Sidhuvud"/>
          </w:pPr>
        </w:p>
      </w:tc>
    </w:tr>
  </w:tbl>
  <w:p w:rsidR="007E05C1" w:rsidRDefault="007E05C1" w:rsidP="008033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84C5F"/>
    <w:multiLevelType w:val="hybridMultilevel"/>
    <w:tmpl w:val="7C346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041CAE"/>
    <w:multiLevelType w:val="hybridMultilevel"/>
    <w:tmpl w:val="FBF80B5E"/>
    <w:lvl w:ilvl="0" w:tplc="F9304E70">
      <w:numFmt w:val="bullet"/>
      <w:lvlText w:val="•"/>
      <w:lvlJc w:val="left"/>
      <w:pPr>
        <w:ind w:left="720" w:hanging="360"/>
      </w:pPr>
      <w:rPr>
        <w:rFonts w:ascii="Clear Sans" w:eastAsiaTheme="minorHAnsi" w:hAnsi="Clear Sans" w:cs="Clear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690029"/>
    <w:multiLevelType w:val="hybridMultilevel"/>
    <w:tmpl w:val="B38C8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40396"/>
    <w:multiLevelType w:val="hybridMultilevel"/>
    <w:tmpl w:val="FA7AC4D2"/>
    <w:lvl w:ilvl="0" w:tplc="F9304E70">
      <w:numFmt w:val="bullet"/>
      <w:lvlText w:val="•"/>
      <w:lvlJc w:val="left"/>
      <w:pPr>
        <w:ind w:left="1440" w:hanging="360"/>
      </w:pPr>
      <w:rPr>
        <w:rFonts w:ascii="Clear Sans" w:eastAsiaTheme="minorHAnsi" w:hAnsi="Clear Sans" w:cs="Clear San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2D1B2441"/>
    <w:multiLevelType w:val="hybridMultilevel"/>
    <w:tmpl w:val="1F264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1E22A6"/>
    <w:multiLevelType w:val="hybridMultilevel"/>
    <w:tmpl w:val="1E18F2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955211"/>
    <w:multiLevelType w:val="hybridMultilevel"/>
    <w:tmpl w:val="3D1245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B810F5A"/>
    <w:multiLevelType w:val="hybridMultilevel"/>
    <w:tmpl w:val="32CE5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357C4E"/>
    <w:multiLevelType w:val="hybridMultilevel"/>
    <w:tmpl w:val="FD1001B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53966979"/>
    <w:multiLevelType w:val="hybridMultilevel"/>
    <w:tmpl w:val="318E7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5F54FCF"/>
    <w:multiLevelType w:val="hybridMultilevel"/>
    <w:tmpl w:val="1C9CE1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5717931"/>
    <w:multiLevelType w:val="hybridMultilevel"/>
    <w:tmpl w:val="394C8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71B38E8"/>
    <w:multiLevelType w:val="hybridMultilevel"/>
    <w:tmpl w:val="B91C1B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72967F0"/>
    <w:multiLevelType w:val="hybridMultilevel"/>
    <w:tmpl w:val="698A4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510EB6"/>
    <w:multiLevelType w:val="hybridMultilevel"/>
    <w:tmpl w:val="6F8E1B82"/>
    <w:lvl w:ilvl="0" w:tplc="F9304E70">
      <w:numFmt w:val="bullet"/>
      <w:lvlText w:val="•"/>
      <w:lvlJc w:val="left"/>
      <w:pPr>
        <w:ind w:left="720" w:hanging="360"/>
      </w:pPr>
      <w:rPr>
        <w:rFonts w:ascii="Clear Sans" w:eastAsiaTheme="minorHAnsi" w:hAnsi="Clear Sans" w:cs="Clear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0"/>
  </w:num>
  <w:num w:numId="13">
    <w:abstractNumId w:val="12"/>
  </w:num>
  <w:num w:numId="14">
    <w:abstractNumId w:val="14"/>
  </w:num>
  <w:num w:numId="15">
    <w:abstractNumId w:val="18"/>
  </w:num>
  <w:num w:numId="16">
    <w:abstractNumId w:val="17"/>
  </w:num>
  <w:num w:numId="17">
    <w:abstractNumId w:val="24"/>
  </w:num>
  <w:num w:numId="18">
    <w:abstractNumId w:val="22"/>
  </w:num>
  <w:num w:numId="19">
    <w:abstractNumId w:val="21"/>
  </w:num>
  <w:num w:numId="20">
    <w:abstractNumId w:val="16"/>
  </w:num>
  <w:num w:numId="21">
    <w:abstractNumId w:val="15"/>
  </w:num>
  <w:num w:numId="22">
    <w:abstractNumId w:val="20"/>
  </w:num>
  <w:num w:numId="23">
    <w:abstractNumId w:val="19"/>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94"/>
    <w:rsid w:val="00020AA5"/>
    <w:rsid w:val="00035057"/>
    <w:rsid w:val="00043706"/>
    <w:rsid w:val="00044C33"/>
    <w:rsid w:val="00055CD5"/>
    <w:rsid w:val="00071515"/>
    <w:rsid w:val="000B05B1"/>
    <w:rsid w:val="000B1FB7"/>
    <w:rsid w:val="000C0EA5"/>
    <w:rsid w:val="000C60FD"/>
    <w:rsid w:val="000E38B4"/>
    <w:rsid w:val="00103B17"/>
    <w:rsid w:val="00117519"/>
    <w:rsid w:val="00137707"/>
    <w:rsid w:val="00154194"/>
    <w:rsid w:val="00181349"/>
    <w:rsid w:val="001A4251"/>
    <w:rsid w:val="001D0CA6"/>
    <w:rsid w:val="001E4019"/>
    <w:rsid w:val="00212246"/>
    <w:rsid w:val="0022059A"/>
    <w:rsid w:val="002B3461"/>
    <w:rsid w:val="002C2287"/>
    <w:rsid w:val="00302D58"/>
    <w:rsid w:val="00303D2A"/>
    <w:rsid w:val="003216FD"/>
    <w:rsid w:val="00322BEB"/>
    <w:rsid w:val="00324A58"/>
    <w:rsid w:val="00350B65"/>
    <w:rsid w:val="003E43EA"/>
    <w:rsid w:val="00412485"/>
    <w:rsid w:val="00423B22"/>
    <w:rsid w:val="004439CD"/>
    <w:rsid w:val="00444380"/>
    <w:rsid w:val="00491833"/>
    <w:rsid w:val="00493A90"/>
    <w:rsid w:val="004A5860"/>
    <w:rsid w:val="004A6B35"/>
    <w:rsid w:val="004B3372"/>
    <w:rsid w:val="004C6FDF"/>
    <w:rsid w:val="004D6BD9"/>
    <w:rsid w:val="004E7780"/>
    <w:rsid w:val="004F4ECC"/>
    <w:rsid w:val="005579B2"/>
    <w:rsid w:val="00564D82"/>
    <w:rsid w:val="005871C5"/>
    <w:rsid w:val="005A1A06"/>
    <w:rsid w:val="005A338D"/>
    <w:rsid w:val="005B4B4C"/>
    <w:rsid w:val="005F6E37"/>
    <w:rsid w:val="0060065E"/>
    <w:rsid w:val="00620954"/>
    <w:rsid w:val="006425F0"/>
    <w:rsid w:val="007143C7"/>
    <w:rsid w:val="0072275C"/>
    <w:rsid w:val="007545AA"/>
    <w:rsid w:val="007A79B3"/>
    <w:rsid w:val="007D25A8"/>
    <w:rsid w:val="007E05C1"/>
    <w:rsid w:val="00800501"/>
    <w:rsid w:val="00803390"/>
    <w:rsid w:val="00804FED"/>
    <w:rsid w:val="00817D87"/>
    <w:rsid w:val="00820848"/>
    <w:rsid w:val="0087146E"/>
    <w:rsid w:val="008F07BE"/>
    <w:rsid w:val="008F0DC8"/>
    <w:rsid w:val="009521C8"/>
    <w:rsid w:val="009635B4"/>
    <w:rsid w:val="00991FA8"/>
    <w:rsid w:val="009B31D4"/>
    <w:rsid w:val="009C4648"/>
    <w:rsid w:val="009C66EF"/>
    <w:rsid w:val="009D6429"/>
    <w:rsid w:val="009E19EB"/>
    <w:rsid w:val="00A115A6"/>
    <w:rsid w:val="00A331FC"/>
    <w:rsid w:val="00A443C3"/>
    <w:rsid w:val="00A76EE9"/>
    <w:rsid w:val="00A81662"/>
    <w:rsid w:val="00A832EB"/>
    <w:rsid w:val="00A83BE8"/>
    <w:rsid w:val="00AA3CC5"/>
    <w:rsid w:val="00AB09AD"/>
    <w:rsid w:val="00AB181E"/>
    <w:rsid w:val="00AB74DE"/>
    <w:rsid w:val="00B246B9"/>
    <w:rsid w:val="00B4733C"/>
    <w:rsid w:val="00B54367"/>
    <w:rsid w:val="00B62A91"/>
    <w:rsid w:val="00B6464C"/>
    <w:rsid w:val="00B80595"/>
    <w:rsid w:val="00BA2273"/>
    <w:rsid w:val="00C04EC4"/>
    <w:rsid w:val="00C46D24"/>
    <w:rsid w:val="00C87386"/>
    <w:rsid w:val="00CA32F7"/>
    <w:rsid w:val="00CC0C64"/>
    <w:rsid w:val="00CF72E7"/>
    <w:rsid w:val="00D24B36"/>
    <w:rsid w:val="00D62BF5"/>
    <w:rsid w:val="00D649F8"/>
    <w:rsid w:val="00D85F28"/>
    <w:rsid w:val="00E145EF"/>
    <w:rsid w:val="00E22CA5"/>
    <w:rsid w:val="00E232E2"/>
    <w:rsid w:val="00E76562"/>
    <w:rsid w:val="00EB280A"/>
    <w:rsid w:val="00EB6561"/>
    <w:rsid w:val="00EC15CA"/>
    <w:rsid w:val="00ED2B1A"/>
    <w:rsid w:val="00EE18C5"/>
    <w:rsid w:val="00EF2EE8"/>
    <w:rsid w:val="00F24ADF"/>
    <w:rsid w:val="00F3093E"/>
    <w:rsid w:val="00F62B2D"/>
    <w:rsid w:val="00F63F62"/>
    <w:rsid w:val="00F76E7B"/>
    <w:rsid w:val="00FC5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FA25AE"/>
  <w15:docId w15:val="{2F7D1AC8-537E-4506-88C5-1A56F3A9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C5"/>
    <w:pPr>
      <w:spacing w:after="0" w:line="240" w:lineRule="auto"/>
    </w:pPr>
    <w:rPr>
      <w:rFonts w:ascii="Clear Sans" w:hAnsi="Clear Sans"/>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cstheme="majorBidi"/>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cstheme="majorBidi"/>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05C1"/>
    <w:rPr>
      <w:rFonts w:ascii="Clear Sans" w:eastAsiaTheme="majorEastAsia" w:hAnsi="Clear Sans" w:cstheme="majorBidi"/>
      <w:b/>
      <w:bCs/>
      <w:sz w:val="36"/>
      <w:szCs w:val="28"/>
    </w:rPr>
  </w:style>
  <w:style w:type="character" w:customStyle="1" w:styleId="Rubrik2Char">
    <w:name w:val="Rubrik 2 Char"/>
    <w:basedOn w:val="Standardstycketeckensnitt"/>
    <w:link w:val="Rubrik2"/>
    <w:uiPriority w:val="9"/>
    <w:rsid w:val="007E05C1"/>
    <w:rPr>
      <w:rFonts w:ascii="Clear Sans" w:eastAsiaTheme="majorEastAsia" w:hAnsi="Clear Sans" w:cstheme="majorBidi"/>
      <w:b/>
      <w:bCs/>
      <w:sz w:val="28"/>
      <w:szCs w:val="26"/>
    </w:rPr>
  </w:style>
  <w:style w:type="character" w:customStyle="1" w:styleId="Rubrik3Char">
    <w:name w:val="Rubrik 3 Char"/>
    <w:basedOn w:val="Standardstycketeckensnitt"/>
    <w:link w:val="Rubrik3"/>
    <w:uiPriority w:val="9"/>
    <w:rsid w:val="007E05C1"/>
    <w:rPr>
      <w:rFonts w:ascii="Clear Sans" w:eastAsiaTheme="majorEastAsia" w:hAnsi="Clear Sans" w:cstheme="majorBidi"/>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rsid w:val="007E05C1"/>
    <w:rPr>
      <w:rFonts w:ascii="Clear Sans" w:hAnsi="Clear Sans"/>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rsid w:val="000E38B4"/>
    <w:rPr>
      <w:rFonts w:ascii="Clear Sans" w:hAnsi="Clear Sans"/>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rsid w:val="00EB6561"/>
    <w:rPr>
      <w:rFonts w:ascii="Clear Sans" w:hAnsi="Clear Sans"/>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rsid w:val="007E05C1"/>
    <w:rPr>
      <w:rFonts w:ascii="Tahoma" w:hAnsi="Tahoma" w:cs="Tahoma"/>
      <w:sz w:val="16"/>
      <w:szCs w:val="16"/>
    </w:rPr>
  </w:style>
  <w:style w:type="table" w:styleId="Tabellrutnt">
    <w:name w:val="Table Grid"/>
    <w:basedOn w:val="Normaltabell"/>
    <w:uiPriority w:val="59"/>
    <w:semiHidden/>
    <w:rsid w:val="007E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B6561"/>
    <w:rPr>
      <w:color w:val="0000FF" w:themeColor="hyperlink"/>
      <w:u w:val="single"/>
    </w:rPr>
  </w:style>
  <w:style w:type="character" w:styleId="Sidnummer">
    <w:name w:val="page number"/>
    <w:basedOn w:val="Standardstycketeckensnitt"/>
    <w:uiPriority w:val="99"/>
    <w:unhideWhenUsed/>
    <w:rsid w:val="009C66EF"/>
    <w:rPr>
      <w:rFonts w:ascii="Clear Sans" w:hAnsi="Clear Sans"/>
      <w:sz w:val="18"/>
    </w:rPr>
  </w:style>
  <w:style w:type="character" w:customStyle="1" w:styleId="Dokumenttyp">
    <w:name w:val="Dokumenttyp"/>
    <w:basedOn w:val="Standardstycketeckensnitt"/>
    <w:uiPriority w:val="99"/>
    <w:rsid w:val="00E76562"/>
    <w:rPr>
      <w:rFonts w:ascii="Clear Sans" w:hAnsi="Clear Sans"/>
      <w:b/>
      <w:sz w:val="18"/>
      <w:szCs w:val="18"/>
    </w:rPr>
  </w:style>
  <w:style w:type="character" w:customStyle="1" w:styleId="Sektor">
    <w:name w:val="Sektor"/>
    <w:basedOn w:val="Standardstycketeckensnitt"/>
    <w:uiPriority w:val="99"/>
    <w:rsid w:val="00E76562"/>
    <w:rPr>
      <w:rFonts w:ascii="Clear Sans" w:hAnsi="Clear Sans"/>
      <w:b/>
      <w:sz w:val="16"/>
    </w:rPr>
  </w:style>
  <w:style w:type="character" w:customStyle="1" w:styleId="Avdelning">
    <w:name w:val="Avdelning"/>
    <w:basedOn w:val="Standardstycketeckensnitt"/>
    <w:uiPriority w:val="99"/>
    <w:rsid w:val="00E76562"/>
    <w:rPr>
      <w:rFonts w:ascii="Clear Sans" w:hAnsi="Clear Sans"/>
      <w:sz w:val="16"/>
    </w:rPr>
  </w:style>
  <w:style w:type="character" w:customStyle="1" w:styleId="SidfotFet">
    <w:name w:val="Sidfot Fet"/>
    <w:basedOn w:val="Standardstycketeckensnitt"/>
    <w:uiPriority w:val="99"/>
    <w:rsid w:val="00E76562"/>
    <w:rPr>
      <w:rFonts w:ascii="Clear Sans" w:hAnsi="Clear Sans"/>
      <w:b/>
      <w:sz w:val="16"/>
    </w:rPr>
  </w:style>
  <w:style w:type="character" w:customStyle="1" w:styleId="SidfotFetRd">
    <w:name w:val="Sidfot Fet Röd"/>
    <w:basedOn w:val="Standardstycketeckensnitt"/>
    <w:uiPriority w:val="99"/>
    <w:rsid w:val="00E76562"/>
    <w:rPr>
      <w:rFonts w:ascii="Clear Sans" w:hAnsi="Clear Sans"/>
      <w:b/>
      <w:color w:val="E1261C"/>
      <w:sz w:val="16"/>
    </w:rPr>
  </w:style>
  <w:style w:type="character" w:customStyle="1" w:styleId="Mottagare">
    <w:name w:val="Mottagare"/>
    <w:basedOn w:val="Standardstycketeckensnitt"/>
    <w:uiPriority w:val="99"/>
    <w:rsid w:val="00E76562"/>
    <w:rPr>
      <w:rFonts w:ascii="Clear Sans" w:hAnsi="Clear Sans"/>
      <w:sz w:val="18"/>
      <w:szCs w:val="18"/>
    </w:rPr>
  </w:style>
  <w:style w:type="character" w:customStyle="1" w:styleId="Handlggarinfo">
    <w:name w:val="Handläggarinfo"/>
    <w:basedOn w:val="Standardstycketeckensnitt"/>
    <w:uiPriority w:val="99"/>
    <w:rsid w:val="00E76562"/>
    <w:rPr>
      <w:rFonts w:ascii="Clear Sans" w:hAnsi="Clear Sans"/>
      <w:sz w:val="18"/>
      <w:szCs w:val="18"/>
    </w:rPr>
  </w:style>
  <w:style w:type="paragraph" w:customStyle="1" w:styleId="Rubrik1Alt">
    <w:name w:val="Rubrik 1 Alt"/>
    <w:basedOn w:val="Normal"/>
    <w:next w:val="Brdtext"/>
    <w:link w:val="Rubrik1AltChar"/>
    <w:uiPriority w:val="9"/>
    <w:qFormat/>
    <w:rsid w:val="00EE18C5"/>
    <w:pPr>
      <w:keepNext/>
      <w:keepLines/>
      <w:spacing w:before="240" w:after="60"/>
      <w:outlineLvl w:val="0"/>
    </w:pPr>
    <w:rPr>
      <w:rFonts w:ascii="Yanone Kaffeesatz Bold" w:hAnsi="Yanone Kaffeesatz Bold"/>
      <w:sz w:val="36"/>
    </w:rPr>
  </w:style>
  <w:style w:type="character" w:customStyle="1" w:styleId="Rubrik1AltChar">
    <w:name w:val="Rubrik 1 Alt Char"/>
    <w:basedOn w:val="Standardstycketeckensnitt"/>
    <w:link w:val="Rubrik1Alt"/>
    <w:uiPriority w:val="9"/>
    <w:rsid w:val="00EE18C5"/>
    <w:rPr>
      <w:rFonts w:ascii="Yanone Kaffeesatz Bold" w:hAnsi="Yanone Kaffeesatz Bold"/>
      <w:sz w:val="36"/>
    </w:rPr>
  </w:style>
  <w:style w:type="paragraph" w:styleId="Liststycke">
    <w:name w:val="List Paragraph"/>
    <w:basedOn w:val="Normal"/>
    <w:uiPriority w:val="34"/>
    <w:qFormat/>
    <w:rsid w:val="00A76EE9"/>
    <w:pPr>
      <w:ind w:left="720"/>
      <w:contextualSpacing/>
    </w:pPr>
  </w:style>
  <w:style w:type="paragraph" w:styleId="Innehll2">
    <w:name w:val="toc 2"/>
    <w:basedOn w:val="Normal"/>
    <w:next w:val="Normal"/>
    <w:autoRedefine/>
    <w:uiPriority w:val="39"/>
    <w:unhideWhenUsed/>
    <w:rsid w:val="00FC5F63"/>
    <w:pPr>
      <w:spacing w:after="100"/>
      <w:ind w:left="200"/>
    </w:pPr>
  </w:style>
  <w:style w:type="paragraph" w:styleId="Innehll1">
    <w:name w:val="toc 1"/>
    <w:basedOn w:val="Normal"/>
    <w:next w:val="Normal"/>
    <w:autoRedefine/>
    <w:uiPriority w:val="39"/>
    <w:unhideWhenUsed/>
    <w:rsid w:val="00FC5F63"/>
    <w:pPr>
      <w:spacing w:after="100"/>
    </w:pPr>
  </w:style>
  <w:style w:type="table" w:styleId="Moderntabell">
    <w:name w:val="Table Contemporary"/>
    <w:basedOn w:val="Normaltabell"/>
    <w:uiPriority w:val="99"/>
    <w:semiHidden/>
    <w:unhideWhenUsed/>
    <w:rsid w:val="0072275C"/>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uiPriority w:val="99"/>
    <w:semiHidden/>
    <w:unhideWhenUsed/>
    <w:rsid w:val="0072275C"/>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72275C"/>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72275C"/>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72275C"/>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72275C"/>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72275C"/>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uiPriority w:val="99"/>
    <w:semiHidden/>
    <w:unhideWhenUsed/>
    <w:rsid w:val="0072275C"/>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72275C"/>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72275C"/>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uiPriority w:val="99"/>
    <w:semiHidden/>
    <w:unhideWhenUsed/>
    <w:rsid w:val="0072275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uiPriority w:val="99"/>
    <w:semiHidden/>
    <w:unhideWhenUsed/>
    <w:rsid w:val="0072275C"/>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72275C"/>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72275C"/>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72275C"/>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72275C"/>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72275C"/>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72275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72275C"/>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72275C"/>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72275C"/>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72275C"/>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72275C"/>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72275C"/>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72275C"/>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72275C"/>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72275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72275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72275C"/>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72275C"/>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72275C"/>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72275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72275C"/>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72275C"/>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72275C"/>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72275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72275C"/>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72275C"/>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72275C"/>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uiPriority w:val="99"/>
    <w:semiHidden/>
    <w:unhideWhenUsed/>
    <w:rsid w:val="0072275C"/>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72275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72275C"/>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1"/>
    <w:next w:val="Normal"/>
    <w:uiPriority w:val="39"/>
    <w:unhideWhenUsed/>
    <w:qFormat/>
    <w:rsid w:val="00991FA8"/>
    <w:pPr>
      <w:spacing w:after="0" w:line="259" w:lineRule="auto"/>
      <w:outlineLvl w:val="9"/>
    </w:pPr>
    <w:rPr>
      <w:rFonts w:asciiTheme="majorHAnsi" w:hAnsiTheme="majorHAnsi"/>
      <w:b w:val="0"/>
      <w:bCs w:val="0"/>
      <w:color w:val="2580BB" w:themeColor="accent1" w:themeShade="BF"/>
      <w:sz w:val="32"/>
      <w:szCs w:val="32"/>
      <w:lang w:eastAsia="sv-SE"/>
    </w:rPr>
  </w:style>
  <w:style w:type="paragraph" w:styleId="Innehll3">
    <w:name w:val="toc 3"/>
    <w:basedOn w:val="Normal"/>
    <w:next w:val="Normal"/>
    <w:autoRedefine/>
    <w:uiPriority w:val="39"/>
    <w:unhideWhenUsed/>
    <w:rsid w:val="00991FA8"/>
    <w:pPr>
      <w:spacing w:after="100"/>
      <w:ind w:left="400"/>
    </w:pPr>
  </w:style>
  <w:style w:type="paragraph" w:customStyle="1" w:styleId="Huvudrubrik">
    <w:name w:val="Huvudrubrik"/>
    <w:basedOn w:val="Normal"/>
    <w:link w:val="HuvudrubrikChar"/>
    <w:qFormat/>
    <w:rsid w:val="00991FA8"/>
    <w:pPr>
      <w:jc w:val="right"/>
    </w:pPr>
    <w:rPr>
      <w:color w:val="51A5DC"/>
      <w:sz w:val="88"/>
      <w:szCs w:val="88"/>
    </w:rPr>
  </w:style>
  <w:style w:type="character" w:customStyle="1" w:styleId="HuvudrubrikChar">
    <w:name w:val="Huvudrubrik Char"/>
    <w:basedOn w:val="Standardstycketeckensnitt"/>
    <w:link w:val="Huvudrubrik"/>
    <w:rsid w:val="00991FA8"/>
    <w:rPr>
      <w:rFonts w:ascii="Clear Sans" w:hAnsi="Clear Sans"/>
      <w:color w:val="51A5DC"/>
      <w:sz w:val="88"/>
      <w:szCs w:val="88"/>
    </w:rPr>
  </w:style>
  <w:style w:type="character" w:styleId="Olstomnmnande">
    <w:name w:val="Unresolved Mention"/>
    <w:basedOn w:val="Standardstycketeckensnitt"/>
    <w:uiPriority w:val="99"/>
    <w:semiHidden/>
    <w:unhideWhenUsed/>
    <w:rsid w:val="00620954"/>
    <w:rPr>
      <w:color w:val="605E5C"/>
      <w:shd w:val="clear" w:color="auto" w:fill="E1DFDD"/>
    </w:rPr>
  </w:style>
  <w:style w:type="paragraph" w:customStyle="1" w:styleId="Kolumnrubrik">
    <w:name w:val="Kolumnrubrik"/>
    <w:basedOn w:val="Brdtext"/>
    <w:link w:val="KolumnrubrikChar"/>
    <w:qFormat/>
    <w:rsid w:val="00620954"/>
    <w:rPr>
      <w:b/>
    </w:rPr>
  </w:style>
  <w:style w:type="paragraph" w:customStyle="1" w:styleId="Default">
    <w:name w:val="Default"/>
    <w:rsid w:val="00044C33"/>
    <w:pPr>
      <w:autoSpaceDE w:val="0"/>
      <w:autoSpaceDN w:val="0"/>
      <w:adjustRightInd w:val="0"/>
      <w:spacing w:after="0" w:line="240" w:lineRule="auto"/>
    </w:pPr>
    <w:rPr>
      <w:rFonts w:ascii="Garamond" w:hAnsi="Garamond" w:cs="Garamond"/>
      <w:color w:val="000000"/>
      <w:sz w:val="24"/>
      <w:szCs w:val="24"/>
    </w:rPr>
  </w:style>
  <w:style w:type="character" w:customStyle="1" w:styleId="KolumnrubrikChar">
    <w:name w:val="Kolumnrubrik Char"/>
    <w:basedOn w:val="BrdtextChar"/>
    <w:link w:val="Kolumnrubrik"/>
    <w:rsid w:val="00620954"/>
    <w:rPr>
      <w:rFonts w:ascii="Clear Sans" w:hAnsi="Clear Sans"/>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K:\Nya%20G\H&#246;&#246;r%20Gemensam\Mallar\KLK\Mall%20styrdokument%20med%20beskrivning%20hur%20man%20g&#246;r%20tillg&#228;ngliga%20dokument.dotx" TargetMode="External"/></Relationships>
</file>

<file path=word/theme/theme1.xml><?xml version="1.0" encoding="utf-8"?>
<a:theme xmlns:a="http://schemas.openxmlformats.org/drawingml/2006/main" name="Höörs kommun">
  <a:themeElements>
    <a:clrScheme name="Höörs kommun">
      <a:dk1>
        <a:sysClr val="windowText" lastClr="000000"/>
      </a:dk1>
      <a:lt1>
        <a:sysClr val="window" lastClr="FFFFFF"/>
      </a:lt1>
      <a:dk2>
        <a:srgbClr val="1F497D"/>
      </a:dk2>
      <a:lt2>
        <a:srgbClr val="EEECE1"/>
      </a:lt2>
      <a:accent1>
        <a:srgbClr val="51A5DC"/>
      </a:accent1>
      <a:accent2>
        <a:srgbClr val="98C226"/>
      </a:accent2>
      <a:accent3>
        <a:srgbClr val="E1261C"/>
      </a:accent3>
      <a:accent4>
        <a:srgbClr val="7DBCE5"/>
      </a:accent4>
      <a:accent5>
        <a:srgbClr val="EF8200"/>
      </a:accent5>
      <a:accent6>
        <a:srgbClr val="C6C6C6"/>
      </a:accent6>
      <a:hlink>
        <a:srgbClr val="0000FF"/>
      </a:hlink>
      <a:folHlink>
        <a:srgbClr val="800080"/>
      </a:folHlink>
    </a:clrScheme>
    <a:fontScheme name="Höörs kommun">
      <a:majorFont>
        <a:latin typeface="Clear Sans"/>
        <a:ea typeface=""/>
        <a:cs typeface=""/>
      </a:majorFont>
      <a:minorFont>
        <a:latin typeface="Clear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DC02-E880-45D9-BF29-6F19D964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styrdokument med beskrivning hur man gör tillgängliga dokument</Template>
  <TotalTime>20</TotalTime>
  <Pages>6</Pages>
  <Words>995</Words>
  <Characters>5278</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Rubrik</vt:lpstr>
      </vt:variant>
      <vt:variant>
        <vt:i4>1</vt:i4>
      </vt:variant>
    </vt:vector>
  </HeadingPairs>
  <TitlesOfParts>
    <vt:vector size="1" baseType="lpstr">
      <vt:lpstr>Mall styrdokumen med beskrivning hur man gör tillgängliga dokument</vt:lpstr>
    </vt:vector>
  </TitlesOfParts>
  <Manager/>
  <Company>Höörs kommun</Company>
  <LinksUpToDate>false</LinksUpToDate>
  <CharactersWithSpaces>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styrdokumen med beskrivning hur man gör tillgängliga dokument</dc:title>
  <dc:subject/>
  <dc:creator>Dencker Skog, Gunilla</dc:creator>
  <cp:keywords/>
  <dc:description>Ver 0.8 - Learningpoint, Andreas Wennborg</dc:description>
  <cp:lastModifiedBy>Östhall, Ulrika</cp:lastModifiedBy>
  <cp:revision>10</cp:revision>
  <cp:lastPrinted>2014-09-22T15:32:00Z</cp:lastPrinted>
  <dcterms:created xsi:type="dcterms:W3CDTF">2023-01-26T17:55:00Z</dcterms:created>
  <dcterms:modified xsi:type="dcterms:W3CDTF">2023-02-14T12:08:00Z</dcterms:modified>
  <cp:category/>
  <cp:contentStatus/>
  <dc:language/>
  <cp:version/>
</cp:coreProperties>
</file>